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CE90F" w14:textId="22B97D00" w:rsidR="00DA1C43" w:rsidRPr="00293455" w:rsidRDefault="00DA1C43" w:rsidP="00E42859">
      <w:pPr>
        <w:pStyle w:val="Heading2"/>
        <w:rPr>
          <w:rFonts w:ascii="Corbel" w:hAnsi="Corbel"/>
          <w:b/>
          <w:sz w:val="32"/>
          <w:szCs w:val="32"/>
          <w:lang w:val="sr-Latn-RS"/>
        </w:rPr>
      </w:pPr>
      <w:r w:rsidRPr="00293455">
        <w:rPr>
          <w:rFonts w:ascii="Corbel" w:hAnsi="Corbel"/>
          <w:b/>
          <w:sz w:val="32"/>
          <w:szCs w:val="32"/>
          <w:lang w:val="sr-Latn-RS"/>
        </w:rPr>
        <w:t>Javni poziv za predloge</w:t>
      </w:r>
      <w:r w:rsidR="00573797" w:rsidRPr="00293455">
        <w:rPr>
          <w:rFonts w:ascii="Corbel" w:hAnsi="Corbel"/>
          <w:b/>
          <w:sz w:val="32"/>
          <w:szCs w:val="32"/>
          <w:lang w:val="sr-Latn-RS"/>
        </w:rPr>
        <w:t xml:space="preserve"> projekata</w:t>
      </w:r>
      <w:r w:rsidRPr="00293455">
        <w:rPr>
          <w:rFonts w:ascii="Corbel" w:hAnsi="Corbel"/>
          <w:b/>
          <w:sz w:val="32"/>
          <w:szCs w:val="32"/>
          <w:lang w:val="sr-Latn-RS"/>
        </w:rPr>
        <w:t xml:space="preserve"> za nabavku opreme i </w:t>
      </w:r>
      <w:r w:rsidR="00573797" w:rsidRPr="00293455">
        <w:rPr>
          <w:rFonts w:ascii="Corbel" w:hAnsi="Corbel"/>
          <w:b/>
          <w:sz w:val="32"/>
          <w:szCs w:val="32"/>
          <w:lang w:val="sr-Latn-RS"/>
        </w:rPr>
        <w:t xml:space="preserve">uvođenje </w:t>
      </w:r>
      <w:r w:rsidRPr="00293455">
        <w:rPr>
          <w:rFonts w:ascii="Corbel" w:hAnsi="Corbel"/>
          <w:b/>
          <w:sz w:val="32"/>
          <w:szCs w:val="32"/>
          <w:lang w:val="sr-Latn-RS"/>
        </w:rPr>
        <w:t>usluga za preduzetnike, mikro i mala preduzeća</w:t>
      </w:r>
      <w:r w:rsidR="00D42839" w:rsidRPr="00293455">
        <w:rPr>
          <w:rFonts w:ascii="Corbel" w:hAnsi="Corbel"/>
          <w:b/>
          <w:sz w:val="32"/>
          <w:szCs w:val="32"/>
          <w:lang w:val="sr-Latn-RS"/>
        </w:rPr>
        <w:t xml:space="preserve"> (CFP 05-2018)</w:t>
      </w:r>
    </w:p>
    <w:p w14:paraId="66E5CB66" w14:textId="77777777" w:rsidR="00DA1C43" w:rsidRPr="00293455" w:rsidRDefault="00DA1C43" w:rsidP="00B9504F">
      <w:pPr>
        <w:rPr>
          <w:lang w:val="sr-Latn-RS"/>
        </w:rPr>
      </w:pPr>
      <w:r w:rsidRPr="00293455">
        <w:rPr>
          <w:lang w:val="sr-Latn-RS"/>
        </w:rPr>
        <w:tab/>
      </w:r>
    </w:p>
    <w:p w14:paraId="18B8F7ED" w14:textId="77777777" w:rsidR="00DA1C43" w:rsidRPr="00293455" w:rsidRDefault="00DA1C43" w:rsidP="00EC084B">
      <w:pPr>
        <w:pStyle w:val="Heading3"/>
        <w:numPr>
          <w:ilvl w:val="0"/>
          <w:numId w:val="2"/>
        </w:numPr>
        <w:rPr>
          <w:rFonts w:ascii="Corbel" w:hAnsi="Corbel"/>
          <w:b/>
          <w:sz w:val="28"/>
          <w:lang w:val="sr-Latn-RS"/>
        </w:rPr>
      </w:pPr>
      <w:r w:rsidRPr="00293455">
        <w:rPr>
          <w:rFonts w:ascii="Corbel" w:hAnsi="Corbel"/>
          <w:b/>
          <w:sz w:val="28"/>
          <w:lang w:val="sr-Latn-RS"/>
        </w:rPr>
        <w:t>Osnovne informacije</w:t>
      </w:r>
    </w:p>
    <w:p w14:paraId="0B0BF9D8" w14:textId="5C7EE236" w:rsidR="00DA1C43" w:rsidRPr="00293455" w:rsidRDefault="00DA1C43" w:rsidP="001339DE">
      <w:pPr>
        <w:spacing w:line="276" w:lineRule="auto"/>
        <w:jc w:val="both"/>
        <w:rPr>
          <w:rFonts w:cs="Arial"/>
          <w:lang w:val="sr-Latn-RS"/>
        </w:rPr>
      </w:pPr>
      <w:r w:rsidRPr="00293455">
        <w:rPr>
          <w:rFonts w:cs="Arial"/>
          <w:lang w:val="sr-Latn-RS"/>
        </w:rPr>
        <w:t>Podrška Evropske unije razvoju opština – EU PRO Program</w:t>
      </w:r>
      <w:r w:rsidRPr="00293455">
        <w:rPr>
          <w:rStyle w:val="FootnoteReference"/>
          <w:rFonts w:cs="Arial"/>
          <w:vertAlign w:val="superscript"/>
          <w:lang w:val="sr-Latn-RS"/>
        </w:rPr>
        <w:footnoteReference w:id="1"/>
      </w:r>
      <w:r w:rsidRPr="00293455">
        <w:rPr>
          <w:rFonts w:cs="Arial"/>
          <w:lang w:val="sr-Latn-RS"/>
        </w:rPr>
        <w:t xml:space="preserve"> doprineće uravnoteženijem društveno-ekonomskom razvoju Srbije</w:t>
      </w:r>
      <w:r w:rsidR="001B67B4" w:rsidRPr="00293455">
        <w:rPr>
          <w:rFonts w:cs="Arial"/>
          <w:lang w:val="sr-Latn-RS"/>
        </w:rPr>
        <w:t>, kroz</w:t>
      </w:r>
      <w:r w:rsidRPr="00293455">
        <w:rPr>
          <w:rFonts w:cs="Arial"/>
          <w:lang w:val="sr-Latn-RS"/>
        </w:rPr>
        <w:t xml:space="preserve"> povećanje konkurentnosti i socijalne kohezije </w:t>
      </w:r>
      <w:r w:rsidR="001B67B4" w:rsidRPr="00293455">
        <w:rPr>
          <w:rFonts w:cs="Arial"/>
          <w:lang w:val="sr-Latn-RS"/>
        </w:rPr>
        <w:t xml:space="preserve">u </w:t>
      </w:r>
      <w:r w:rsidRPr="00293455">
        <w:rPr>
          <w:rFonts w:cs="Arial"/>
          <w:lang w:val="sr-Latn-RS"/>
        </w:rPr>
        <w:t>99 opština u dva regiona</w:t>
      </w:r>
      <w:r w:rsidR="001930F0" w:rsidRPr="00293455">
        <w:rPr>
          <w:rFonts w:cs="Arial"/>
          <w:lang w:val="sr-Latn-RS"/>
        </w:rPr>
        <w:t>:</w:t>
      </w:r>
      <w:r w:rsidRPr="00293455">
        <w:rPr>
          <w:rFonts w:cs="Arial"/>
          <w:lang w:val="sr-Latn-RS"/>
        </w:rPr>
        <w:t xml:space="preserve"> </w:t>
      </w:r>
      <w:r w:rsidR="001930F0" w:rsidRPr="00293455">
        <w:rPr>
          <w:rFonts w:cs="Arial"/>
          <w:lang w:val="sr-Latn-RS"/>
        </w:rPr>
        <w:t xml:space="preserve">regionu </w:t>
      </w:r>
      <w:r w:rsidRPr="00293455">
        <w:rPr>
          <w:rFonts w:cs="Arial"/>
          <w:lang w:val="sr-Latn-RS"/>
        </w:rPr>
        <w:t>Šumadij</w:t>
      </w:r>
      <w:r w:rsidR="001B67B4" w:rsidRPr="00293455">
        <w:rPr>
          <w:rFonts w:cs="Arial"/>
          <w:lang w:val="sr-Latn-RS"/>
        </w:rPr>
        <w:t>e</w:t>
      </w:r>
      <w:r w:rsidRPr="00293455">
        <w:rPr>
          <w:rFonts w:cs="Arial"/>
          <w:lang w:val="sr-Latn-RS"/>
        </w:rPr>
        <w:t xml:space="preserve"> i </w:t>
      </w:r>
      <w:r w:rsidR="001930F0" w:rsidRPr="00293455">
        <w:rPr>
          <w:rFonts w:cs="Arial"/>
          <w:lang w:val="sr-Latn-RS"/>
        </w:rPr>
        <w:t>z</w:t>
      </w:r>
      <w:r w:rsidRPr="00293455">
        <w:rPr>
          <w:rFonts w:cs="Arial"/>
          <w:lang w:val="sr-Latn-RS"/>
        </w:rPr>
        <w:t>apadn</w:t>
      </w:r>
      <w:r w:rsidR="001B67B4" w:rsidRPr="00293455">
        <w:rPr>
          <w:rFonts w:cs="Arial"/>
          <w:lang w:val="sr-Latn-RS"/>
        </w:rPr>
        <w:t>e</w:t>
      </w:r>
      <w:r w:rsidRPr="00293455">
        <w:rPr>
          <w:rFonts w:cs="Arial"/>
          <w:lang w:val="sr-Latn-RS"/>
        </w:rPr>
        <w:t xml:space="preserve"> Srbij</w:t>
      </w:r>
      <w:r w:rsidR="001B67B4" w:rsidRPr="00293455">
        <w:rPr>
          <w:rFonts w:cs="Arial"/>
          <w:lang w:val="sr-Latn-RS"/>
        </w:rPr>
        <w:t>e</w:t>
      </w:r>
      <w:r w:rsidRPr="00293455">
        <w:rPr>
          <w:rFonts w:cs="Arial"/>
          <w:lang w:val="sr-Latn-RS"/>
        </w:rPr>
        <w:t xml:space="preserve">, </w:t>
      </w:r>
      <w:r w:rsidR="001930F0" w:rsidRPr="00293455">
        <w:rPr>
          <w:rFonts w:cs="Arial"/>
          <w:lang w:val="sr-Latn-RS"/>
        </w:rPr>
        <w:t>i regionu južne</w:t>
      </w:r>
      <w:r w:rsidRPr="00293455">
        <w:rPr>
          <w:rFonts w:cs="Arial"/>
          <w:lang w:val="sr-Latn-RS"/>
        </w:rPr>
        <w:t xml:space="preserve"> i </w:t>
      </w:r>
      <w:r w:rsidR="001930F0" w:rsidRPr="00293455">
        <w:rPr>
          <w:rFonts w:cs="Arial"/>
          <w:lang w:val="sr-Latn-RS"/>
        </w:rPr>
        <w:t>i</w:t>
      </w:r>
      <w:r w:rsidRPr="00293455">
        <w:rPr>
          <w:rFonts w:cs="Arial"/>
          <w:lang w:val="sr-Latn-RS"/>
        </w:rPr>
        <w:t>stočn</w:t>
      </w:r>
      <w:r w:rsidR="001930F0" w:rsidRPr="00293455">
        <w:rPr>
          <w:rFonts w:cs="Arial"/>
          <w:lang w:val="sr-Latn-RS"/>
        </w:rPr>
        <w:t>e</w:t>
      </w:r>
      <w:r w:rsidRPr="00293455">
        <w:rPr>
          <w:rFonts w:cs="Arial"/>
          <w:lang w:val="sr-Latn-RS"/>
        </w:rPr>
        <w:t xml:space="preserve"> Srbij</w:t>
      </w:r>
      <w:r w:rsidR="001930F0" w:rsidRPr="00293455">
        <w:rPr>
          <w:rFonts w:cs="Arial"/>
          <w:lang w:val="sr-Latn-RS"/>
        </w:rPr>
        <w:t>e</w:t>
      </w:r>
      <w:r w:rsidRPr="00293455">
        <w:rPr>
          <w:rFonts w:cs="Arial"/>
          <w:lang w:val="sr-Latn-RS"/>
        </w:rPr>
        <w:t>.</w:t>
      </w:r>
      <w:r w:rsidRPr="00293455">
        <w:rPr>
          <w:rStyle w:val="FootnoteReference"/>
          <w:rFonts w:cs="Arial"/>
          <w:vertAlign w:val="superscript"/>
          <w:lang w:val="sr-Latn-RS"/>
        </w:rPr>
        <w:footnoteReference w:id="2"/>
      </w:r>
      <w:r w:rsidRPr="00293455">
        <w:rPr>
          <w:rFonts w:cs="Arial"/>
          <w:lang w:val="sr-Latn-RS"/>
        </w:rPr>
        <w:t xml:space="preserve"> Evropska unija (EU) je </w:t>
      </w:r>
      <w:r w:rsidR="00263FFB" w:rsidRPr="00293455">
        <w:rPr>
          <w:rFonts w:cs="Arial"/>
          <w:lang w:val="sr-Latn-RS"/>
        </w:rPr>
        <w:t xml:space="preserve">izdvojila </w:t>
      </w:r>
      <w:r w:rsidRPr="00293455">
        <w:rPr>
          <w:rFonts w:cs="Arial"/>
          <w:lang w:val="sr-Latn-RS"/>
        </w:rPr>
        <w:t xml:space="preserve">25 miliona evra  </w:t>
      </w:r>
      <w:r w:rsidR="00263FFB" w:rsidRPr="00293455">
        <w:rPr>
          <w:lang w:val="sr-Latn-RS"/>
        </w:rPr>
        <w:t>za realizaciju</w:t>
      </w:r>
      <w:r w:rsidRPr="00293455">
        <w:rPr>
          <w:rFonts w:cs="Arial"/>
          <w:lang w:val="sr-Latn-RS"/>
        </w:rPr>
        <w:t xml:space="preserve"> Programa </w:t>
      </w:r>
      <w:r w:rsidR="00263FFB" w:rsidRPr="00293455">
        <w:rPr>
          <w:rFonts w:cs="Arial"/>
          <w:lang w:val="sr-Latn-RS"/>
        </w:rPr>
        <w:t xml:space="preserve">u periodu od </w:t>
      </w:r>
      <w:r w:rsidRPr="00293455">
        <w:rPr>
          <w:rFonts w:cs="Arial"/>
          <w:lang w:val="sr-Latn-RS"/>
        </w:rPr>
        <w:t xml:space="preserve">36 meseci. Kancelarija Ujedinjenih nacija za projektne usluge (UNOPS) odabrana je za </w:t>
      </w:r>
      <w:r w:rsidR="00263FFB" w:rsidRPr="00293455">
        <w:rPr>
          <w:lang w:val="sr-Latn-RS"/>
        </w:rPr>
        <w:t>indirektno</w:t>
      </w:r>
      <w:r w:rsidRPr="00293455">
        <w:rPr>
          <w:rFonts w:cs="Arial"/>
          <w:lang w:val="sr-Latn-RS"/>
        </w:rPr>
        <w:t xml:space="preserve"> upravljanje putem </w:t>
      </w:r>
      <w:r w:rsidR="001930F0" w:rsidRPr="00293455">
        <w:rPr>
          <w:rFonts w:cs="Arial"/>
          <w:lang w:val="sr-Latn-RS"/>
        </w:rPr>
        <w:t xml:space="preserve">poziva </w:t>
      </w:r>
      <w:r w:rsidRPr="00293455">
        <w:rPr>
          <w:rFonts w:cs="Arial"/>
          <w:lang w:val="sr-Latn-RS"/>
        </w:rPr>
        <w:t>za izražavanje interesa.</w:t>
      </w:r>
      <w:r w:rsidRPr="00293455">
        <w:rPr>
          <w:rFonts w:cs="Arial"/>
          <w:vertAlign w:val="superscript"/>
          <w:lang w:val="sr-Latn-RS"/>
        </w:rPr>
        <w:footnoteReference w:id="3"/>
      </w:r>
    </w:p>
    <w:p w14:paraId="657C9687" w14:textId="2C666DD8" w:rsidR="00DA1C43" w:rsidRPr="00293455" w:rsidRDefault="00DA1C43" w:rsidP="001339DE">
      <w:pPr>
        <w:spacing w:line="276" w:lineRule="auto"/>
        <w:jc w:val="both"/>
        <w:rPr>
          <w:rFonts w:cs="Arial"/>
          <w:lang w:val="sr-Latn-RS"/>
        </w:rPr>
      </w:pPr>
      <w:r w:rsidRPr="00293455">
        <w:rPr>
          <w:rFonts w:cs="Arial"/>
          <w:lang w:val="sr-Latn-RS"/>
        </w:rPr>
        <w:t xml:space="preserve">Postoje tri rezultata koja Program </w:t>
      </w:r>
      <w:r w:rsidR="00623BB5" w:rsidRPr="00293455">
        <w:rPr>
          <w:rFonts w:cs="Arial"/>
          <w:lang w:val="sr-Latn-RS"/>
        </w:rPr>
        <w:t>želi da postigne</w:t>
      </w:r>
      <w:r w:rsidRPr="00293455">
        <w:rPr>
          <w:rFonts w:cs="Arial"/>
          <w:lang w:val="sr-Latn-RS"/>
        </w:rPr>
        <w:t>:</w:t>
      </w:r>
    </w:p>
    <w:p w14:paraId="77A7A8AF" w14:textId="753EA84B" w:rsidR="00DA1C43" w:rsidRPr="00293455" w:rsidRDefault="00984B88" w:rsidP="00833FCA">
      <w:pPr>
        <w:numPr>
          <w:ilvl w:val="0"/>
          <w:numId w:val="1"/>
        </w:numPr>
        <w:spacing w:after="0" w:line="276" w:lineRule="auto"/>
        <w:jc w:val="both"/>
        <w:rPr>
          <w:rFonts w:cs="Arial"/>
          <w:lang w:val="sr-Latn-RS"/>
        </w:rPr>
      </w:pPr>
      <w:r w:rsidRPr="00293455">
        <w:rPr>
          <w:rFonts w:cs="Arial"/>
          <w:lang w:val="sr-Latn-RS"/>
        </w:rPr>
        <w:t>R</w:t>
      </w:r>
      <w:r w:rsidR="00DA1C43" w:rsidRPr="00293455">
        <w:rPr>
          <w:rFonts w:cs="Arial"/>
          <w:lang w:val="sr-Latn-RS"/>
        </w:rPr>
        <w:t>ezultat</w:t>
      </w:r>
      <w:r w:rsidRPr="00293455">
        <w:rPr>
          <w:rFonts w:cs="Arial"/>
          <w:lang w:val="sr-Latn-RS"/>
        </w:rPr>
        <w:t xml:space="preserve"> 1</w:t>
      </w:r>
      <w:r w:rsidR="00DA1C43" w:rsidRPr="00293455">
        <w:rPr>
          <w:rFonts w:cs="Arial"/>
          <w:lang w:val="sr-Latn-RS"/>
        </w:rPr>
        <w:t>: Poboljšana tehnološka struktura malih i srednjih preduzeća (</w:t>
      </w:r>
      <w:r w:rsidR="00AE1978" w:rsidRPr="00293455">
        <w:rPr>
          <w:rFonts w:cs="Arial"/>
          <w:lang w:val="sr-Latn-RS"/>
        </w:rPr>
        <w:t>MSP</w:t>
      </w:r>
      <w:r w:rsidR="00C03FD1" w:rsidRPr="00293455">
        <w:rPr>
          <w:rFonts w:cs="Arial"/>
          <w:lang w:val="sr-Latn-RS"/>
        </w:rPr>
        <w:t xml:space="preserve">) i </w:t>
      </w:r>
      <w:r w:rsidRPr="00293455">
        <w:rPr>
          <w:rFonts w:cs="Arial"/>
          <w:lang w:val="sr-Latn-RS"/>
        </w:rPr>
        <w:t xml:space="preserve">njihova </w:t>
      </w:r>
      <w:r w:rsidR="00C03FD1" w:rsidRPr="00293455">
        <w:rPr>
          <w:rFonts w:cs="Arial"/>
          <w:lang w:val="sr-Latn-RS"/>
        </w:rPr>
        <w:t>sposobnost</w:t>
      </w:r>
      <w:r w:rsidRPr="00293455">
        <w:rPr>
          <w:rFonts w:cs="Arial"/>
          <w:lang w:val="sr-Latn-RS"/>
        </w:rPr>
        <w:t xml:space="preserve"> da</w:t>
      </w:r>
      <w:r w:rsidR="00C03FD1" w:rsidRPr="00293455">
        <w:rPr>
          <w:rFonts w:cs="Arial"/>
          <w:lang w:val="sr-Latn-RS"/>
        </w:rPr>
        <w:t xml:space="preserve"> izvoz</w:t>
      </w:r>
      <w:r w:rsidRPr="00293455">
        <w:rPr>
          <w:rFonts w:cs="Arial"/>
          <w:lang w:val="sr-Latn-RS"/>
        </w:rPr>
        <w:t>e</w:t>
      </w:r>
    </w:p>
    <w:p w14:paraId="75FF3423" w14:textId="095D451F" w:rsidR="00DA1C43" w:rsidRPr="00293455" w:rsidRDefault="00984B88" w:rsidP="00DE54A6">
      <w:pPr>
        <w:numPr>
          <w:ilvl w:val="0"/>
          <w:numId w:val="1"/>
        </w:numPr>
        <w:spacing w:after="0" w:line="276" w:lineRule="auto"/>
        <w:jc w:val="both"/>
        <w:rPr>
          <w:rFonts w:cs="Arial"/>
          <w:lang w:val="sr-Latn-RS"/>
        </w:rPr>
      </w:pPr>
      <w:r w:rsidRPr="00293455">
        <w:rPr>
          <w:rFonts w:cs="Arial"/>
          <w:lang w:val="sr-Latn-RS"/>
        </w:rPr>
        <w:t>R</w:t>
      </w:r>
      <w:r w:rsidR="00DA1C43" w:rsidRPr="00293455">
        <w:rPr>
          <w:rFonts w:cs="Arial"/>
          <w:lang w:val="sr-Latn-RS"/>
        </w:rPr>
        <w:t>ezultat</w:t>
      </w:r>
      <w:r w:rsidRPr="00293455">
        <w:rPr>
          <w:rFonts w:cs="Arial"/>
          <w:lang w:val="sr-Latn-RS"/>
        </w:rPr>
        <w:t xml:space="preserve"> 2</w:t>
      </w:r>
      <w:r w:rsidR="00DA1C43" w:rsidRPr="00293455">
        <w:rPr>
          <w:rFonts w:cs="Arial"/>
          <w:lang w:val="sr-Latn-RS"/>
        </w:rPr>
        <w:t xml:space="preserve">: Poboljšani uslovi za poslovanje </w:t>
      </w:r>
      <w:r w:rsidRPr="00293455">
        <w:rPr>
          <w:rFonts w:cs="Arial"/>
          <w:lang w:val="sr-Latn-RS"/>
        </w:rPr>
        <w:t xml:space="preserve">kroz </w:t>
      </w:r>
      <w:r w:rsidR="00DA1C43" w:rsidRPr="00293455">
        <w:rPr>
          <w:rFonts w:cs="Arial"/>
          <w:lang w:val="sr-Latn-RS"/>
        </w:rPr>
        <w:t xml:space="preserve">efikasnije </w:t>
      </w:r>
      <w:r w:rsidRPr="00293455">
        <w:rPr>
          <w:rFonts w:cs="Arial"/>
          <w:lang w:val="sr-Latn-RS"/>
        </w:rPr>
        <w:t xml:space="preserve">pružanje </w:t>
      </w:r>
      <w:r w:rsidR="00DA1C43" w:rsidRPr="00293455">
        <w:rPr>
          <w:rFonts w:cs="Arial"/>
          <w:lang w:val="sr-Latn-RS"/>
        </w:rPr>
        <w:t>administrativnih usluga, bolje upravljanj</w:t>
      </w:r>
      <w:r w:rsidRPr="00293455">
        <w:rPr>
          <w:rFonts w:cs="Arial"/>
          <w:lang w:val="sr-Latn-RS"/>
        </w:rPr>
        <w:t>e</w:t>
      </w:r>
      <w:r w:rsidR="00DA1C43" w:rsidRPr="00293455">
        <w:rPr>
          <w:rFonts w:cs="Arial"/>
          <w:lang w:val="sr-Latn-RS"/>
        </w:rPr>
        <w:t xml:space="preserve"> zemljištem i </w:t>
      </w:r>
      <w:r w:rsidRPr="00293455">
        <w:rPr>
          <w:rFonts w:cs="Arial"/>
          <w:lang w:val="sr-Latn-RS"/>
        </w:rPr>
        <w:t>konkretne investicije</w:t>
      </w:r>
      <w:r w:rsidR="00DA1C43" w:rsidRPr="00293455">
        <w:rPr>
          <w:rFonts w:cs="Arial"/>
          <w:lang w:val="sr-Latn-RS"/>
        </w:rPr>
        <w:t xml:space="preserve"> u infrastrukturu</w:t>
      </w:r>
    </w:p>
    <w:p w14:paraId="5A801893" w14:textId="6B773032" w:rsidR="00DA1C43" w:rsidRPr="00293455" w:rsidRDefault="00984B88" w:rsidP="001339DE">
      <w:pPr>
        <w:numPr>
          <w:ilvl w:val="0"/>
          <w:numId w:val="1"/>
        </w:numPr>
        <w:spacing w:after="0" w:line="276" w:lineRule="auto"/>
        <w:jc w:val="both"/>
        <w:rPr>
          <w:rFonts w:cs="Arial"/>
          <w:lang w:val="sr-Latn-RS"/>
        </w:rPr>
      </w:pPr>
      <w:r w:rsidRPr="00293455">
        <w:rPr>
          <w:rFonts w:cs="Arial"/>
          <w:lang w:val="sr-Latn-RS"/>
        </w:rPr>
        <w:t>R</w:t>
      </w:r>
      <w:r w:rsidR="00DA1C43" w:rsidRPr="00293455">
        <w:rPr>
          <w:rFonts w:cs="Arial"/>
          <w:lang w:val="sr-Latn-RS"/>
        </w:rPr>
        <w:t>ezultat</w:t>
      </w:r>
      <w:r w:rsidRPr="00293455">
        <w:rPr>
          <w:rFonts w:cs="Arial"/>
          <w:lang w:val="sr-Latn-RS"/>
        </w:rPr>
        <w:t xml:space="preserve"> 3</w:t>
      </w:r>
      <w:r w:rsidR="00DA1C43" w:rsidRPr="00293455">
        <w:rPr>
          <w:rFonts w:cs="Arial"/>
          <w:lang w:val="sr-Latn-RS"/>
        </w:rPr>
        <w:t xml:space="preserve">: Bolja socijalna kohezija i privlačnija životna sredina </w:t>
      </w:r>
      <w:r w:rsidRPr="00293455">
        <w:rPr>
          <w:rFonts w:cs="Arial"/>
          <w:lang w:val="sr-Latn-RS"/>
        </w:rPr>
        <w:t xml:space="preserve">kroz </w:t>
      </w:r>
      <w:r w:rsidR="00DA1C43" w:rsidRPr="00293455">
        <w:rPr>
          <w:rFonts w:cs="Arial"/>
          <w:lang w:val="sr-Latn-RS"/>
        </w:rPr>
        <w:t>poboljšanj</w:t>
      </w:r>
      <w:r w:rsidRPr="00293455">
        <w:rPr>
          <w:rFonts w:cs="Arial"/>
          <w:lang w:val="sr-Latn-RS"/>
        </w:rPr>
        <w:t>e javne</w:t>
      </w:r>
      <w:r w:rsidR="00DA1C43" w:rsidRPr="00293455">
        <w:rPr>
          <w:rFonts w:cs="Arial"/>
          <w:lang w:val="sr-Latn-RS"/>
        </w:rPr>
        <w:t xml:space="preserve"> infrastrukture </w:t>
      </w:r>
      <w:r w:rsidRPr="00293455">
        <w:rPr>
          <w:rFonts w:cs="Arial"/>
          <w:lang w:val="sr-Latn-RS"/>
        </w:rPr>
        <w:t xml:space="preserve">manjih razmera </w:t>
      </w:r>
      <w:r w:rsidR="00DA1C43" w:rsidRPr="00293455">
        <w:rPr>
          <w:rFonts w:cs="Arial"/>
          <w:lang w:val="sr-Latn-RS"/>
        </w:rPr>
        <w:t xml:space="preserve">i društvenih odnosa </w:t>
      </w:r>
    </w:p>
    <w:p w14:paraId="003CA2EB" w14:textId="77777777" w:rsidR="005C14AE" w:rsidRPr="00293455" w:rsidRDefault="005C14AE" w:rsidP="005C14AE">
      <w:pPr>
        <w:spacing w:after="0" w:line="276" w:lineRule="auto"/>
        <w:ind w:left="720"/>
        <w:jc w:val="both"/>
        <w:rPr>
          <w:rFonts w:cs="Arial"/>
          <w:lang w:val="sr-Latn-RS"/>
        </w:rPr>
      </w:pPr>
    </w:p>
    <w:p w14:paraId="309A4159" w14:textId="2C30702C" w:rsidR="00DA1C43" w:rsidRPr="00293455" w:rsidRDefault="00DA1C43" w:rsidP="001339DE">
      <w:pPr>
        <w:spacing w:line="276" w:lineRule="auto"/>
        <w:jc w:val="both"/>
        <w:rPr>
          <w:rFonts w:cs="Arial"/>
          <w:lang w:val="sr-Latn-RS"/>
        </w:rPr>
      </w:pPr>
      <w:r w:rsidRPr="00293455">
        <w:rPr>
          <w:rFonts w:cs="Arial"/>
          <w:lang w:val="sr-Latn-RS"/>
        </w:rPr>
        <w:t xml:space="preserve">Direktni korisnici EU PRO </w:t>
      </w:r>
      <w:r w:rsidR="00984B88" w:rsidRPr="00293455">
        <w:rPr>
          <w:rFonts w:cs="Arial"/>
          <w:lang w:val="sr-Latn-RS"/>
        </w:rPr>
        <w:t xml:space="preserve">su stukture </w:t>
      </w:r>
      <w:r w:rsidRPr="00293455">
        <w:rPr>
          <w:rFonts w:cs="Arial"/>
          <w:lang w:val="sr-Latn-RS"/>
        </w:rPr>
        <w:t xml:space="preserve"> lokalne </w:t>
      </w:r>
      <w:r w:rsidR="00984B88" w:rsidRPr="00293455">
        <w:rPr>
          <w:rFonts w:cs="Arial"/>
          <w:lang w:val="sr-Latn-RS"/>
        </w:rPr>
        <w:t xml:space="preserve">uprave, </w:t>
      </w:r>
      <w:r w:rsidRPr="00293455">
        <w:rPr>
          <w:rFonts w:cs="Arial"/>
          <w:lang w:val="sr-Latn-RS"/>
        </w:rPr>
        <w:t xml:space="preserve"> </w:t>
      </w:r>
      <w:r w:rsidR="00984B88" w:rsidRPr="00293455">
        <w:rPr>
          <w:rFonts w:cs="Arial"/>
          <w:lang w:val="sr-Latn-RS"/>
        </w:rPr>
        <w:t>domaća MSP</w:t>
      </w:r>
      <w:r w:rsidR="00911337" w:rsidRPr="00293455">
        <w:rPr>
          <w:rFonts w:cs="Arial"/>
          <w:lang w:val="sr-Latn-RS"/>
        </w:rPr>
        <w:t>,</w:t>
      </w:r>
      <w:r w:rsidRPr="00293455">
        <w:rPr>
          <w:rStyle w:val="FootnoteReference"/>
          <w:rFonts w:cs="Arial"/>
          <w:vertAlign w:val="superscript"/>
          <w:lang w:val="sr-Latn-RS"/>
        </w:rPr>
        <w:footnoteReference w:id="4"/>
      </w:r>
      <w:r w:rsidRPr="00293455">
        <w:rPr>
          <w:rFonts w:cs="Arial"/>
          <w:lang w:val="sr-Latn-RS"/>
        </w:rPr>
        <w:t xml:space="preserve"> organizacije civilnog društva (</w:t>
      </w:r>
      <w:r w:rsidR="00AE1978" w:rsidRPr="00293455">
        <w:rPr>
          <w:rFonts w:cs="Arial"/>
          <w:lang w:val="sr-Latn-RS"/>
        </w:rPr>
        <w:t>OCD</w:t>
      </w:r>
      <w:r w:rsidRPr="00293455">
        <w:rPr>
          <w:rFonts w:cs="Arial"/>
          <w:lang w:val="sr-Latn-RS"/>
        </w:rPr>
        <w:t>) i organizacije za poslovnu podršku (</w:t>
      </w:r>
      <w:r w:rsidR="00AE1978" w:rsidRPr="00293455">
        <w:rPr>
          <w:rFonts w:cs="Arial"/>
          <w:lang w:val="sr-Latn-RS"/>
        </w:rPr>
        <w:t>OPP</w:t>
      </w:r>
      <w:r w:rsidRPr="00293455">
        <w:rPr>
          <w:rFonts w:cs="Arial"/>
          <w:lang w:val="sr-Latn-RS"/>
        </w:rPr>
        <w:t xml:space="preserve">). Krajnji korisnici su stanovnici 99 opština. </w:t>
      </w:r>
    </w:p>
    <w:p w14:paraId="28C9B01A" w14:textId="109F81B9" w:rsidR="00DA1C43" w:rsidRPr="00293455" w:rsidRDefault="00DA1C43" w:rsidP="00DE44AE">
      <w:pPr>
        <w:spacing w:line="276" w:lineRule="auto"/>
        <w:jc w:val="both"/>
        <w:rPr>
          <w:rFonts w:cs="Arial"/>
          <w:lang w:val="sr-Latn-RS"/>
        </w:rPr>
      </w:pPr>
      <w:r w:rsidRPr="00293455">
        <w:rPr>
          <w:rFonts w:cs="Arial"/>
          <w:lang w:val="sr-Latn-RS"/>
        </w:rPr>
        <w:t>EU PRO Program</w:t>
      </w:r>
      <w:r w:rsidRPr="00293455">
        <w:rPr>
          <w:rFonts w:cs="Arial"/>
          <w:bCs/>
          <w:lang w:val="sr-Latn-RS"/>
        </w:rPr>
        <w:t xml:space="preserve"> zasnovan je na Nacionalnim prioritetima za međunarodnu pomoć u Republici Srbiji 2014–2017, sa projekcijama do 2020. godine (NAD)</w:t>
      </w:r>
      <w:r w:rsidRPr="00293455">
        <w:rPr>
          <w:rStyle w:val="FootnoteReference"/>
          <w:rFonts w:cs="Arial"/>
          <w:bCs/>
          <w:vertAlign w:val="superscript"/>
          <w:lang w:val="sr-Latn-RS"/>
        </w:rPr>
        <w:footnoteReference w:id="5"/>
      </w:r>
      <w:r w:rsidRPr="00293455">
        <w:rPr>
          <w:rFonts w:cs="Arial"/>
          <w:bCs/>
          <w:lang w:val="sr-Latn-RS"/>
        </w:rPr>
        <w:t xml:space="preserve">, koji su značajni za proces pridruživanja Srbije EU i društveno-ekonomski razvoj. Aktivnosti Programa sprovodiće se u partnerstvu sa Vladom </w:t>
      </w:r>
      <w:r w:rsidRPr="00293455">
        <w:rPr>
          <w:rFonts w:cs="Arial"/>
          <w:lang w:val="sr-Latn-RS"/>
        </w:rPr>
        <w:t>Srbije, istovremeno poštujući nacionalne strategije, zakone i relev</w:t>
      </w:r>
      <w:r w:rsidR="00475D73" w:rsidRPr="00293455">
        <w:rPr>
          <w:rFonts w:cs="Arial"/>
          <w:lang w:val="sr-Latn-RS"/>
        </w:rPr>
        <w:t xml:space="preserve"> </w:t>
      </w:r>
      <w:r w:rsidRPr="00293455">
        <w:rPr>
          <w:rFonts w:cs="Arial"/>
          <w:lang w:val="sr-Latn-RS"/>
        </w:rPr>
        <w:t xml:space="preserve">ntna dokumenta o razvoju kako bi se obezbedilo nacionalno vlasništvo i pomogao razvoj nacionalnih kapaciteta. </w:t>
      </w:r>
    </w:p>
    <w:p w14:paraId="25DBA2D8" w14:textId="77777777" w:rsidR="00DA1C43" w:rsidRPr="00293455" w:rsidRDefault="00DA1C43" w:rsidP="00EC084B">
      <w:pPr>
        <w:pStyle w:val="Heading3"/>
        <w:numPr>
          <w:ilvl w:val="0"/>
          <w:numId w:val="2"/>
        </w:numPr>
        <w:rPr>
          <w:rFonts w:ascii="Corbel" w:hAnsi="Corbel"/>
          <w:b/>
          <w:sz w:val="28"/>
          <w:lang w:val="sr-Latn-RS"/>
        </w:rPr>
      </w:pPr>
      <w:r w:rsidRPr="00293455">
        <w:rPr>
          <w:rFonts w:ascii="Corbel" w:hAnsi="Corbel"/>
          <w:b/>
          <w:sz w:val="28"/>
          <w:lang w:val="sr-Latn-RS"/>
        </w:rPr>
        <w:lastRenderedPageBreak/>
        <w:t xml:space="preserve">Obrazloženje </w:t>
      </w:r>
    </w:p>
    <w:p w14:paraId="76030EC8" w14:textId="6C730EBB" w:rsidR="00DA1C43" w:rsidRPr="00293455" w:rsidRDefault="00DA1C43" w:rsidP="00670A10">
      <w:pPr>
        <w:spacing w:line="276" w:lineRule="auto"/>
        <w:jc w:val="both"/>
        <w:rPr>
          <w:rFonts w:cs="Arial"/>
          <w:lang w:val="sr-Latn-RS"/>
        </w:rPr>
      </w:pPr>
      <w:r w:rsidRPr="00293455">
        <w:rPr>
          <w:rFonts w:cs="Arial"/>
          <w:lang w:val="sr-Latn-RS"/>
        </w:rPr>
        <w:t xml:space="preserve">Sektor </w:t>
      </w:r>
      <w:r w:rsidR="00E1270D" w:rsidRPr="00293455">
        <w:rPr>
          <w:rFonts w:cs="Arial"/>
          <w:lang w:val="sr-Latn-RS"/>
        </w:rPr>
        <w:t xml:space="preserve">MSP </w:t>
      </w:r>
      <w:r w:rsidRPr="00293455">
        <w:rPr>
          <w:rFonts w:cs="Arial"/>
          <w:lang w:val="sr-Latn-RS"/>
        </w:rPr>
        <w:t xml:space="preserve">predstavlja važan segment srpske privrede. Procenjuje se da </w:t>
      </w:r>
      <w:r w:rsidR="00E1270D" w:rsidRPr="00293455">
        <w:rPr>
          <w:rFonts w:cs="Arial"/>
          <w:lang w:val="sr-Latn-RS"/>
        </w:rPr>
        <w:t xml:space="preserve">MSP </w:t>
      </w:r>
      <w:r w:rsidRPr="00293455">
        <w:rPr>
          <w:rFonts w:cs="Arial"/>
          <w:lang w:val="sr-Latn-RS"/>
        </w:rPr>
        <w:t xml:space="preserve">čine 99,8% aktivnih </w:t>
      </w:r>
      <w:r w:rsidR="00E1270D" w:rsidRPr="00293455">
        <w:rPr>
          <w:rFonts w:cs="Arial"/>
          <w:lang w:val="sr-Latn-RS"/>
        </w:rPr>
        <w:t>poslovnih subjekata</w:t>
      </w:r>
      <w:r w:rsidRPr="00293455">
        <w:rPr>
          <w:rFonts w:cs="Arial"/>
          <w:lang w:val="sr-Latn-RS"/>
        </w:rPr>
        <w:t xml:space="preserve">, da </w:t>
      </w:r>
      <w:r w:rsidR="00E1270D" w:rsidRPr="00293455">
        <w:rPr>
          <w:rFonts w:cs="Arial"/>
          <w:lang w:val="sr-Latn-RS"/>
        </w:rPr>
        <w:t xml:space="preserve">obezbeđuju </w:t>
      </w:r>
      <w:r w:rsidRPr="00293455">
        <w:rPr>
          <w:rFonts w:cs="Arial"/>
          <w:lang w:val="sr-Latn-RS"/>
        </w:rPr>
        <w:t xml:space="preserve">2/3 </w:t>
      </w:r>
      <w:r w:rsidR="00E1270D" w:rsidRPr="00293455">
        <w:rPr>
          <w:rFonts w:cs="Arial"/>
          <w:lang w:val="sr-Latn-RS"/>
        </w:rPr>
        <w:t xml:space="preserve">zaposlenosti </w:t>
      </w:r>
      <w:r w:rsidRPr="00293455">
        <w:rPr>
          <w:rFonts w:cs="Arial"/>
          <w:lang w:val="sr-Latn-RS"/>
        </w:rPr>
        <w:t xml:space="preserve">i prometa u nefinansijskom sektoru, </w:t>
      </w:r>
      <w:r w:rsidR="00CF3BE1" w:rsidRPr="00293455">
        <w:rPr>
          <w:bCs/>
          <w:lang w:val="sr-Latn-RS"/>
        </w:rPr>
        <w:t>učestvuju sa 43,2% u izvozu nefinansijskog sektora i generišu 32% srpskog BDP-a.</w:t>
      </w:r>
      <w:r w:rsidRPr="00293455">
        <w:rPr>
          <w:rFonts w:cs="Arial"/>
          <w:lang w:val="sr-Latn-RS"/>
        </w:rPr>
        <w:t xml:space="preserve">. Prosečan broj zaposlenih u </w:t>
      </w:r>
      <w:r w:rsidR="00CF3BE1" w:rsidRPr="00293455">
        <w:rPr>
          <w:rFonts w:cs="Arial"/>
          <w:lang w:val="sr-Latn-RS"/>
        </w:rPr>
        <w:t xml:space="preserve">MSP </w:t>
      </w:r>
      <w:r w:rsidRPr="00293455">
        <w:rPr>
          <w:rFonts w:cs="Arial"/>
          <w:lang w:val="sr-Latn-RS"/>
        </w:rPr>
        <w:t xml:space="preserve">je 2,4, što ukazuje na jednu od </w:t>
      </w:r>
      <w:r w:rsidR="00CF3BE1" w:rsidRPr="00293455">
        <w:rPr>
          <w:rFonts w:cs="Arial"/>
          <w:lang w:val="sr-Latn-RS"/>
        </w:rPr>
        <w:t xml:space="preserve">ključnih </w:t>
      </w:r>
      <w:r w:rsidRPr="00293455">
        <w:rPr>
          <w:rFonts w:cs="Arial"/>
          <w:lang w:val="sr-Latn-RS"/>
        </w:rPr>
        <w:t xml:space="preserve">slabosti ovog sektora u poređenju za zemljama članicama Evropske unije, gde je prosečan broj zaposlenih 4,2. Ovo dodatno </w:t>
      </w:r>
      <w:r w:rsidR="00CF3BE1" w:rsidRPr="00293455">
        <w:rPr>
          <w:rFonts w:cs="Arial"/>
          <w:lang w:val="sr-Latn-RS"/>
        </w:rPr>
        <w:t xml:space="preserve">ukazuje </w:t>
      </w:r>
      <w:r w:rsidRPr="00293455">
        <w:rPr>
          <w:rFonts w:cs="Arial"/>
          <w:lang w:val="sr-Latn-RS"/>
        </w:rPr>
        <w:t xml:space="preserve">visoku fragmentaciju i nisku konkurentnost srpskih </w:t>
      </w:r>
      <w:r w:rsidR="00CF3BE1" w:rsidRPr="00293455">
        <w:rPr>
          <w:rFonts w:cs="Arial"/>
          <w:lang w:val="sr-Latn-RS"/>
        </w:rPr>
        <w:t>MSP</w:t>
      </w:r>
      <w:r w:rsidRPr="00293455">
        <w:rPr>
          <w:rFonts w:cs="Arial"/>
          <w:lang w:val="sr-Latn-RS"/>
        </w:rPr>
        <w:t xml:space="preserve">. Osim toga, svako treće preduzeće posluje u </w:t>
      </w:r>
      <w:r w:rsidR="00CF3BE1" w:rsidRPr="00293455">
        <w:rPr>
          <w:rFonts w:cs="Arial"/>
          <w:lang w:val="sr-Latn-RS"/>
        </w:rPr>
        <w:t xml:space="preserve">sektoru maloprodaje </w:t>
      </w:r>
      <w:r w:rsidRPr="00293455">
        <w:rPr>
          <w:rFonts w:cs="Arial"/>
          <w:lang w:val="sr-Latn-RS"/>
        </w:rPr>
        <w:t xml:space="preserve">i </w:t>
      </w:r>
      <w:r w:rsidR="00CF3BE1" w:rsidRPr="00293455">
        <w:rPr>
          <w:rFonts w:cs="Arial"/>
          <w:lang w:val="sr-Latn-RS"/>
        </w:rPr>
        <w:t>sektoru veleprodaje</w:t>
      </w:r>
      <w:r w:rsidRPr="00293455">
        <w:rPr>
          <w:rFonts w:cs="Arial"/>
          <w:lang w:val="sr-Latn-RS"/>
        </w:rPr>
        <w:t xml:space="preserve">, dok </w:t>
      </w:r>
      <w:r w:rsidR="00CF3BE1" w:rsidRPr="00293455">
        <w:rPr>
          <w:rFonts w:cs="Arial"/>
          <w:lang w:val="sr-Latn-RS"/>
        </w:rPr>
        <w:t xml:space="preserve">MSP </w:t>
      </w:r>
      <w:r w:rsidRPr="00293455">
        <w:rPr>
          <w:rFonts w:cs="Arial"/>
          <w:lang w:val="sr-Latn-RS"/>
        </w:rPr>
        <w:t>u prerađivačkim industrijama posluju u niskim tehnološkim oblastima, stvarajući proizvode sa niskom dodatom vrednošću što, samim, tim, podrazumeva slabiju tržišnu po</w:t>
      </w:r>
      <w:r w:rsidR="008C6E3D" w:rsidRPr="00293455">
        <w:rPr>
          <w:rFonts w:cs="Arial"/>
          <w:lang w:val="sr-Latn-RS"/>
        </w:rPr>
        <w:t xml:space="preserve">ziciju i </w:t>
      </w:r>
      <w:r w:rsidR="00CF3BE1" w:rsidRPr="00293455">
        <w:rPr>
          <w:rFonts w:cs="Arial"/>
          <w:lang w:val="sr-Latn-RS"/>
        </w:rPr>
        <w:t>nižu profitnu maržu</w:t>
      </w:r>
      <w:r w:rsidR="008C6E3D" w:rsidRPr="00293455">
        <w:rPr>
          <w:rFonts w:cs="Arial"/>
          <w:lang w:val="sr-Latn-RS"/>
        </w:rPr>
        <w:t xml:space="preserve">. </w:t>
      </w:r>
      <w:r w:rsidR="00CF3BE1" w:rsidRPr="00293455">
        <w:rPr>
          <w:rFonts w:cs="Arial"/>
          <w:lang w:val="sr-Latn-RS"/>
        </w:rPr>
        <w:t xml:space="preserve">MSP </w:t>
      </w:r>
      <w:r w:rsidRPr="00293455">
        <w:rPr>
          <w:rFonts w:cs="Arial"/>
          <w:lang w:val="sr-Latn-RS"/>
        </w:rPr>
        <w:t xml:space="preserve">su nedovoljno orijentisana na izvoz: od ukupnog broja registrovanih </w:t>
      </w:r>
      <w:r w:rsidR="0009012C" w:rsidRPr="00293455">
        <w:rPr>
          <w:rFonts w:cs="Arial"/>
          <w:lang w:val="sr-Latn-RS"/>
        </w:rPr>
        <w:t>MSP</w:t>
      </w:r>
      <w:r w:rsidRPr="00293455">
        <w:rPr>
          <w:rFonts w:cs="Arial"/>
          <w:lang w:val="sr-Latn-RS"/>
        </w:rPr>
        <w:t>, samo 4,3% su izvoznici.</w:t>
      </w:r>
      <w:r w:rsidRPr="00293455">
        <w:rPr>
          <w:rFonts w:cs="Arial"/>
          <w:vertAlign w:val="superscript"/>
          <w:lang w:val="sr-Latn-RS"/>
        </w:rPr>
        <w:footnoteReference w:id="6"/>
      </w:r>
    </w:p>
    <w:p w14:paraId="3AA7758F" w14:textId="441C4892" w:rsidR="00DA1C43" w:rsidRPr="00293455" w:rsidRDefault="0009012C" w:rsidP="00DE44AE">
      <w:pPr>
        <w:spacing w:line="276" w:lineRule="auto"/>
        <w:jc w:val="both"/>
        <w:rPr>
          <w:bCs/>
          <w:lang w:val="sr-Latn-RS"/>
        </w:rPr>
      </w:pPr>
      <w:r w:rsidRPr="00293455">
        <w:rPr>
          <w:rFonts w:cs="Arial"/>
          <w:lang w:val="sr-Latn-RS" w:eastAsia="en-GB"/>
        </w:rPr>
        <w:t xml:space="preserve">MSP </w:t>
      </w:r>
      <w:r w:rsidR="00DA1C43" w:rsidRPr="00293455">
        <w:rPr>
          <w:rFonts w:cs="Arial"/>
          <w:lang w:val="sr-Latn-RS" w:eastAsia="en-GB"/>
        </w:rPr>
        <w:t xml:space="preserve">u </w:t>
      </w:r>
      <w:r w:rsidR="002E797F" w:rsidRPr="00293455">
        <w:rPr>
          <w:rFonts w:cs="Arial"/>
          <w:lang w:val="sr-Latn-RS" w:eastAsia="en-GB"/>
        </w:rPr>
        <w:t>J</w:t>
      </w:r>
      <w:r w:rsidR="00DA1C43" w:rsidRPr="00293455">
        <w:rPr>
          <w:rFonts w:cs="Arial"/>
          <w:lang w:val="sr-Latn-RS" w:eastAsia="en-GB"/>
        </w:rPr>
        <w:t xml:space="preserve">užnoj i </w:t>
      </w:r>
      <w:r w:rsidR="002E797F" w:rsidRPr="00293455">
        <w:rPr>
          <w:rFonts w:cs="Arial"/>
          <w:lang w:val="sr-Latn-RS" w:eastAsia="en-GB"/>
        </w:rPr>
        <w:t>I</w:t>
      </w:r>
      <w:r w:rsidR="00DA1C43" w:rsidRPr="00293455">
        <w:rPr>
          <w:rFonts w:cs="Arial"/>
          <w:lang w:val="sr-Latn-RS" w:eastAsia="en-GB"/>
        </w:rPr>
        <w:t xml:space="preserve">stočnoj Srbiji imaju </w:t>
      </w:r>
      <w:r w:rsidR="002B4A43" w:rsidRPr="00293455">
        <w:rPr>
          <w:rFonts w:cs="Arial"/>
          <w:lang w:val="sr-Latn-RS" w:eastAsia="en-GB"/>
        </w:rPr>
        <w:t xml:space="preserve">upola manju </w:t>
      </w:r>
      <w:r w:rsidR="00DA1C43" w:rsidRPr="00293455">
        <w:rPr>
          <w:rFonts w:cs="Arial"/>
          <w:lang w:val="sr-Latn-RS" w:eastAsia="en-GB"/>
        </w:rPr>
        <w:t xml:space="preserve">produktivnost u poređenju sa regionom Beograda, dok ona u Šumadiji i </w:t>
      </w:r>
      <w:r w:rsidR="002B4A43" w:rsidRPr="00293455">
        <w:rPr>
          <w:rFonts w:cs="Arial"/>
          <w:lang w:val="sr-Latn-RS" w:eastAsia="en-GB"/>
        </w:rPr>
        <w:t>Z</w:t>
      </w:r>
      <w:r w:rsidR="00DA1C43" w:rsidRPr="00293455">
        <w:rPr>
          <w:rFonts w:cs="Arial"/>
          <w:lang w:val="sr-Latn-RS" w:eastAsia="en-GB"/>
        </w:rPr>
        <w:t>apadnoj Srbiji zaostaju za otprilike 70%.</w:t>
      </w:r>
      <w:r w:rsidR="00DA1C43" w:rsidRPr="00293455">
        <w:rPr>
          <w:rStyle w:val="FootnoteReference"/>
          <w:rFonts w:cs="Arial"/>
          <w:vertAlign w:val="superscript"/>
          <w:lang w:val="sr-Latn-RS" w:eastAsia="en-GB"/>
        </w:rPr>
        <w:footnoteReference w:id="7"/>
      </w:r>
      <w:r w:rsidR="00DA1C43" w:rsidRPr="00293455">
        <w:rPr>
          <w:rFonts w:cs="Arial"/>
          <w:lang w:val="sr-Latn-RS" w:eastAsia="en-GB"/>
        </w:rPr>
        <w:t xml:space="preserve"> Uslovi za aktivnosti </w:t>
      </w:r>
      <w:r w:rsidR="00CF3BE1" w:rsidRPr="00293455">
        <w:rPr>
          <w:rFonts w:cs="Arial"/>
          <w:lang w:val="sr-Latn-RS" w:eastAsia="en-GB"/>
        </w:rPr>
        <w:t xml:space="preserve">pokretanja poslovanja </w:t>
      </w:r>
      <w:r w:rsidR="00DA1C43" w:rsidRPr="00293455">
        <w:rPr>
          <w:rFonts w:cs="Arial"/>
          <w:lang w:val="sr-Latn-RS" w:eastAsia="en-GB"/>
        </w:rPr>
        <w:t>i razvoj preduzeća podjednako su neravnomern</w:t>
      </w:r>
      <w:r w:rsidR="002B4A43" w:rsidRPr="00293455">
        <w:rPr>
          <w:rFonts w:cs="Arial"/>
          <w:lang w:val="sr-Latn-RS" w:eastAsia="en-GB"/>
        </w:rPr>
        <w:t>i</w:t>
      </w:r>
      <w:r w:rsidR="00DA1C43" w:rsidRPr="00293455">
        <w:rPr>
          <w:rFonts w:cs="Arial"/>
          <w:lang w:val="sr-Latn-RS" w:eastAsia="en-GB"/>
        </w:rPr>
        <w:t>, sa značajnim razlikama u stopama opstanka</w:t>
      </w:r>
      <w:r w:rsidR="00CF3BE1" w:rsidRPr="00293455">
        <w:rPr>
          <w:rFonts w:cs="Arial"/>
          <w:lang w:val="sr-Latn-RS" w:eastAsia="en-GB"/>
        </w:rPr>
        <w:t xml:space="preserve"> preduzeća</w:t>
      </w:r>
      <w:r w:rsidR="00DA1C43" w:rsidRPr="00293455">
        <w:rPr>
          <w:rFonts w:cs="Arial"/>
          <w:lang w:val="sr-Latn-RS" w:eastAsia="en-GB"/>
        </w:rPr>
        <w:t>. Nedostat</w:t>
      </w:r>
      <w:r w:rsidR="008C6E3D" w:rsidRPr="00293455">
        <w:rPr>
          <w:rFonts w:cs="Arial"/>
          <w:lang w:val="sr-Latn-RS" w:eastAsia="en-GB"/>
        </w:rPr>
        <w:t xml:space="preserve">ak novih tehnologija i razvoja </w:t>
      </w:r>
      <w:r w:rsidR="00DA1C43" w:rsidRPr="00293455">
        <w:rPr>
          <w:rFonts w:cs="Arial"/>
          <w:lang w:val="sr-Latn-RS" w:eastAsia="en-GB"/>
        </w:rPr>
        <w:t xml:space="preserve">novih proizvoda su među ključnim preprekama u razvoju </w:t>
      </w:r>
      <w:r w:rsidR="00BC09CE" w:rsidRPr="00293455">
        <w:rPr>
          <w:rFonts w:cs="Arial"/>
          <w:lang w:val="sr-Latn-RS" w:eastAsia="en-GB"/>
        </w:rPr>
        <w:t xml:space="preserve">MSP </w:t>
      </w:r>
      <w:r w:rsidR="00DA1C43" w:rsidRPr="00293455">
        <w:rPr>
          <w:rFonts w:cs="Arial"/>
          <w:lang w:val="sr-Latn-RS" w:eastAsia="en-GB"/>
        </w:rPr>
        <w:t xml:space="preserve">sektora. </w:t>
      </w:r>
      <w:r w:rsidR="00BC09CE" w:rsidRPr="00293455">
        <w:rPr>
          <w:rFonts w:eastAsia="Times New Roman"/>
          <w:lang w:val="sr-Latn-RS" w:eastAsia="en-GB"/>
        </w:rPr>
        <w:t>Štaviše, mnogim preduzećima nedostaju specifične veštine i stručna znanja koja se mogu steći samo van preduzeća.</w:t>
      </w:r>
      <w:r w:rsidR="00DA1C43" w:rsidRPr="00293455">
        <w:rPr>
          <w:rFonts w:cs="Arial"/>
          <w:lang w:val="sr-Latn-RS" w:eastAsia="en-GB"/>
        </w:rPr>
        <w:t xml:space="preserve">. Čak i kada neko </w:t>
      </w:r>
      <w:r w:rsidR="006F5437" w:rsidRPr="00293455">
        <w:rPr>
          <w:rFonts w:cs="Arial"/>
          <w:lang w:val="sr-Latn-RS" w:eastAsia="en-GB"/>
        </w:rPr>
        <w:t>MSP</w:t>
      </w:r>
      <w:r w:rsidR="00DA1C43" w:rsidRPr="00293455">
        <w:rPr>
          <w:rFonts w:cs="Arial"/>
          <w:lang w:val="sr-Latn-RS" w:eastAsia="en-GB"/>
        </w:rPr>
        <w:t xml:space="preserve"> razvije ili unapredi svoje proizvode, nedostaju mu međunarodne veze, potvrde o kvalitetu i </w:t>
      </w:r>
      <w:r w:rsidR="00BC09CE" w:rsidRPr="00293455">
        <w:rPr>
          <w:rFonts w:eastAsia="Times New Roman"/>
          <w:lang w:val="sr-Latn-RS" w:eastAsia="en-GB"/>
        </w:rPr>
        <w:t>vidljivost njihovih proizvoda</w:t>
      </w:r>
      <w:r w:rsidR="006F5437" w:rsidRPr="00293455">
        <w:rPr>
          <w:rFonts w:eastAsia="Times New Roman"/>
          <w:lang w:val="sr-Latn-RS" w:eastAsia="en-GB"/>
        </w:rPr>
        <w:t>.</w:t>
      </w:r>
      <w:r w:rsidR="00BC09CE" w:rsidRPr="00293455" w:rsidDel="00BC09CE">
        <w:rPr>
          <w:rFonts w:cs="Arial"/>
          <w:lang w:val="sr-Latn-RS" w:eastAsia="en-GB"/>
        </w:rPr>
        <w:t xml:space="preserve"> </w:t>
      </w:r>
      <w:r w:rsidR="00BC09CE" w:rsidRPr="00293455">
        <w:rPr>
          <w:rFonts w:eastAsia="Times New Roman"/>
          <w:lang w:val="sr-Latn-RS" w:eastAsia="en-GB"/>
        </w:rPr>
        <w:t xml:space="preserve">Program će stoga podržavati </w:t>
      </w:r>
      <w:r w:rsidR="006F5437" w:rsidRPr="00293455">
        <w:rPr>
          <w:rFonts w:eastAsia="Times New Roman"/>
          <w:lang w:val="sr-Latn-RS" w:eastAsia="en-GB"/>
        </w:rPr>
        <w:t xml:space="preserve">preduzetnike, mikro i mala </w:t>
      </w:r>
      <w:r w:rsidR="00BC09CE" w:rsidRPr="00293455">
        <w:rPr>
          <w:rFonts w:eastAsia="Times New Roman"/>
          <w:lang w:val="sr-Latn-RS" w:eastAsia="en-GB"/>
        </w:rPr>
        <w:t>preduzeća da nabave ili uvedu nove tehnologije, što bi trebalo da dovede do povećanja produktivnosti, smanjenja troškova proizvodnje, povećanog kvaliteta, tehnološk</w:t>
      </w:r>
      <w:r w:rsidR="006F5437" w:rsidRPr="00293455">
        <w:rPr>
          <w:rFonts w:eastAsia="Times New Roman"/>
          <w:lang w:val="sr-Latn-RS" w:eastAsia="en-GB"/>
        </w:rPr>
        <w:t>og napretka</w:t>
      </w:r>
      <w:r w:rsidR="00BC09CE" w:rsidRPr="00293455">
        <w:rPr>
          <w:rFonts w:eastAsia="Times New Roman"/>
          <w:lang w:val="sr-Latn-RS" w:eastAsia="en-GB"/>
        </w:rPr>
        <w:t xml:space="preserve"> i</w:t>
      </w:r>
      <w:r w:rsidR="006F5437" w:rsidRPr="00293455">
        <w:rPr>
          <w:rFonts w:eastAsia="Times New Roman"/>
          <w:lang w:val="sr-Latn-RS" w:eastAsia="en-GB"/>
        </w:rPr>
        <w:t xml:space="preserve"> povećanja</w:t>
      </w:r>
      <w:r w:rsidR="00BC09CE" w:rsidRPr="00293455">
        <w:rPr>
          <w:rFonts w:eastAsia="Times New Roman"/>
          <w:lang w:val="sr-Latn-RS" w:eastAsia="en-GB"/>
        </w:rPr>
        <w:t xml:space="preserve"> vrednosti proizvoda, a što bi trebalo da za rezultat ima poboljšanje njihove izvozne konkurentnosti i omogući otvaranje novih radnih mesta. </w:t>
      </w:r>
      <w:r w:rsidR="00DA1C43" w:rsidRPr="00293455">
        <w:rPr>
          <w:bCs/>
          <w:lang w:val="sr-Latn-RS"/>
        </w:rPr>
        <w:t>Program ekonomskih reformi Vlade Srbije (ERP)</w:t>
      </w:r>
      <w:r w:rsidR="00DA1C43" w:rsidRPr="00293455">
        <w:rPr>
          <w:rStyle w:val="FootnoteReference"/>
          <w:bCs/>
          <w:vertAlign w:val="superscript"/>
          <w:lang w:val="sr-Latn-RS"/>
        </w:rPr>
        <w:footnoteReference w:id="8"/>
      </w:r>
      <w:r w:rsidR="00DA1C43" w:rsidRPr="00293455">
        <w:rPr>
          <w:bCs/>
          <w:lang w:val="sr-Latn-RS"/>
        </w:rPr>
        <w:t xml:space="preserve"> priznaje progres koji je Srbija ostvarila u poboljšanju poslovnog okruženja i smanjivanju sive ekonomije. Program potvrđuje da i dalje postoje brojne prepreke, </w:t>
      </w:r>
      <w:r w:rsidR="00533555" w:rsidRPr="00293455">
        <w:rPr>
          <w:bCs/>
          <w:lang w:val="sr-Latn-RS"/>
        </w:rPr>
        <w:t xml:space="preserve">kao </w:t>
      </w:r>
      <w:r w:rsidR="00DA1C43" w:rsidRPr="00293455">
        <w:rPr>
          <w:bCs/>
          <w:lang w:val="sr-Latn-RS"/>
        </w:rPr>
        <w:t xml:space="preserve">što je ograničeni pristup finansijama za </w:t>
      </w:r>
      <w:r w:rsidR="00533555" w:rsidRPr="00293455">
        <w:rPr>
          <w:bCs/>
          <w:lang w:val="sr-Latn-RS"/>
        </w:rPr>
        <w:t xml:space="preserve">MSP </w:t>
      </w:r>
      <w:r w:rsidR="00DA1C43" w:rsidRPr="00293455">
        <w:rPr>
          <w:bCs/>
          <w:lang w:val="sr-Latn-RS"/>
        </w:rPr>
        <w:t>i preduzetnike. Program takođe prepoznaje poboljšanja u vezi sa industrijskim razvojem i uspostavljanjem efikasnijeg državnog sistema za promovisanje investicija i izvoza. Međutim, ERP je ukazao da je za dalji razvoj potrebno tehnološko unapređivanje proizvodnje, naročito u sektorima u kojima država ima konkurentne prednosti. Fokus bi trebalo preusmeriti na stvaranje proizvoda sa većom dodatom vrednošću. ERP je takođe potvrdio da postoji dovoljno prostora za poboljšanje sistema socijalne zaštite unutar postojećeg finansijskog okvira, prepoznajući kao glavne probleme siromaštvo, nizak kvalitet usluga i slabe mehanizme kontr</w:t>
      </w:r>
      <w:r w:rsidR="008C6E3D" w:rsidRPr="00293455">
        <w:rPr>
          <w:bCs/>
          <w:lang w:val="sr-Latn-RS"/>
        </w:rPr>
        <w:t xml:space="preserve">ole, praćenja i evaluacije. </w:t>
      </w:r>
    </w:p>
    <w:p w14:paraId="4555C99D" w14:textId="216BB563" w:rsidR="00DA1C43" w:rsidRPr="00293455" w:rsidRDefault="00DA1C43" w:rsidP="00DE44AE">
      <w:pPr>
        <w:spacing w:line="276" w:lineRule="auto"/>
        <w:jc w:val="both"/>
        <w:rPr>
          <w:bCs/>
          <w:lang w:val="sr-Latn-RS"/>
        </w:rPr>
      </w:pPr>
      <w:r w:rsidRPr="00293455">
        <w:rPr>
          <w:bCs/>
          <w:lang w:val="sr-Latn-RS"/>
        </w:rPr>
        <w:lastRenderedPageBreak/>
        <w:t xml:space="preserve">Imajući u vidu ovu analizu, ERP, između ostalog, preporučuje dalje poboljšanje poslovnog okruženja i podsticaja za privatne investicije, uspostavljanje šema za podršku </w:t>
      </w:r>
      <w:r w:rsidR="00533555" w:rsidRPr="00293455">
        <w:rPr>
          <w:bCs/>
          <w:lang w:val="sr-Latn-RS"/>
        </w:rPr>
        <w:t>MSP</w:t>
      </w:r>
      <w:r w:rsidRPr="00293455">
        <w:rPr>
          <w:bCs/>
          <w:lang w:val="sr-Latn-RS"/>
        </w:rPr>
        <w:t xml:space="preserve">, nastavak reformi državne administracije i naročito uspostavljanje transparentnijeg i manje opterećujućeg parafiskalnog sistema. </w:t>
      </w:r>
    </w:p>
    <w:p w14:paraId="07245DA3" w14:textId="77777777" w:rsidR="00DA1C43" w:rsidRPr="00293455" w:rsidRDefault="00DA1C43" w:rsidP="00701626">
      <w:pPr>
        <w:jc w:val="both"/>
        <w:rPr>
          <w:lang w:val="sr-Latn-RS"/>
        </w:rPr>
      </w:pPr>
      <w:r w:rsidRPr="00293455">
        <w:rPr>
          <w:lang w:val="sr-Latn-RS"/>
        </w:rPr>
        <w:t>Ovaj pristup takođe pruža mogućnost da privatni sektor doprinese većem socijalnom uticaju</w:t>
      </w:r>
      <w:r w:rsidRPr="00293455">
        <w:rPr>
          <w:rStyle w:val="FootnoteReference"/>
          <w:vertAlign w:val="superscript"/>
          <w:lang w:val="sr-Latn-RS"/>
        </w:rPr>
        <w:footnoteReference w:id="9"/>
      </w:r>
      <w:r w:rsidRPr="00293455">
        <w:rPr>
          <w:lang w:val="sr-Latn-RS"/>
        </w:rPr>
        <w:t xml:space="preserve"> integrisanjem u svoj poslovni model mera društvene odgovornosti koje pozitivno utiču na lokalne zajednice.</w:t>
      </w:r>
    </w:p>
    <w:p w14:paraId="1928E246" w14:textId="0A71038F" w:rsidR="00DA1C43" w:rsidRPr="00293455" w:rsidRDefault="00DA1C43" w:rsidP="00EC084B">
      <w:pPr>
        <w:pStyle w:val="Heading3"/>
        <w:numPr>
          <w:ilvl w:val="0"/>
          <w:numId w:val="2"/>
        </w:numPr>
        <w:rPr>
          <w:rFonts w:ascii="Corbel" w:hAnsi="Corbel"/>
          <w:b/>
          <w:sz w:val="28"/>
          <w:lang w:val="sr-Latn-RS"/>
        </w:rPr>
      </w:pPr>
      <w:r w:rsidRPr="00293455">
        <w:rPr>
          <w:rFonts w:ascii="Corbel" w:hAnsi="Corbel"/>
          <w:b/>
          <w:sz w:val="28"/>
          <w:lang w:val="sr-Latn-RS"/>
        </w:rPr>
        <w:t>Ciljevi</w:t>
      </w:r>
      <w:r w:rsidR="00475D73" w:rsidRPr="00293455">
        <w:rPr>
          <w:rFonts w:ascii="Corbel" w:hAnsi="Corbel"/>
          <w:b/>
          <w:sz w:val="28"/>
          <w:lang w:val="sr-Latn-RS"/>
        </w:rPr>
        <w:t xml:space="preserve"> poziva</w:t>
      </w:r>
    </w:p>
    <w:p w14:paraId="507D69C6" w14:textId="178BB1F6" w:rsidR="00DA1C43" w:rsidRPr="00293455" w:rsidRDefault="00AA5314" w:rsidP="002F3FD0">
      <w:pPr>
        <w:jc w:val="both"/>
        <w:rPr>
          <w:bCs/>
          <w:lang w:val="sr-Latn-RS"/>
        </w:rPr>
      </w:pPr>
      <w:r w:rsidRPr="00293455">
        <w:rPr>
          <w:b/>
          <w:lang w:val="sr-Latn-RS"/>
        </w:rPr>
        <w:t>Opšti</w:t>
      </w:r>
      <w:r w:rsidR="00DA1C43" w:rsidRPr="00293455">
        <w:rPr>
          <w:b/>
          <w:lang w:val="sr-Latn-RS"/>
        </w:rPr>
        <w:t xml:space="preserve"> cilj: </w:t>
      </w:r>
      <w:r w:rsidR="002B4A43" w:rsidRPr="00293455">
        <w:rPr>
          <w:rFonts w:cs="Arial"/>
          <w:lang w:val="sr-Latn-RS"/>
        </w:rPr>
        <w:t>D</w:t>
      </w:r>
      <w:r w:rsidR="00DA1C43" w:rsidRPr="00293455">
        <w:rPr>
          <w:rFonts w:cs="Arial"/>
          <w:lang w:val="sr-Latn-RS"/>
        </w:rPr>
        <w:t xml:space="preserve">oprineti povećanoj konkurentnosti </w:t>
      </w:r>
      <w:r w:rsidR="00533555" w:rsidRPr="00293455">
        <w:rPr>
          <w:rFonts w:cs="Arial"/>
          <w:lang w:val="sr-Latn-RS"/>
        </w:rPr>
        <w:t xml:space="preserve">MSP </w:t>
      </w:r>
      <w:r w:rsidR="00DA1C43" w:rsidRPr="00293455">
        <w:rPr>
          <w:rFonts w:cs="Arial"/>
          <w:lang w:val="sr-Latn-RS"/>
        </w:rPr>
        <w:t xml:space="preserve">u Šumadiji i </w:t>
      </w:r>
      <w:r w:rsidR="002B4A43" w:rsidRPr="00293455">
        <w:rPr>
          <w:rFonts w:cs="Arial"/>
          <w:lang w:val="sr-Latn-RS"/>
        </w:rPr>
        <w:t>Z</w:t>
      </w:r>
      <w:r w:rsidR="00DA1C43" w:rsidRPr="00293455">
        <w:rPr>
          <w:rFonts w:cs="Arial"/>
          <w:lang w:val="sr-Latn-RS"/>
        </w:rPr>
        <w:t xml:space="preserve">apadnoj Srbiji, odnosno </w:t>
      </w:r>
      <w:r w:rsidR="002B4A43" w:rsidRPr="00293455">
        <w:rPr>
          <w:rFonts w:cs="Arial"/>
          <w:lang w:val="sr-Latn-RS"/>
        </w:rPr>
        <w:t>J</w:t>
      </w:r>
      <w:r w:rsidR="00DA1C43" w:rsidRPr="00293455">
        <w:rPr>
          <w:rFonts w:cs="Arial"/>
          <w:lang w:val="sr-Latn-RS"/>
        </w:rPr>
        <w:t xml:space="preserve">užnoj i </w:t>
      </w:r>
      <w:r w:rsidR="002B4A43" w:rsidRPr="00293455">
        <w:rPr>
          <w:rFonts w:cs="Arial"/>
          <w:lang w:val="sr-Latn-RS"/>
        </w:rPr>
        <w:t>I</w:t>
      </w:r>
      <w:r w:rsidR="00DA1C43" w:rsidRPr="00293455">
        <w:rPr>
          <w:rFonts w:cs="Arial"/>
          <w:lang w:val="sr-Latn-RS"/>
        </w:rPr>
        <w:t>stočnoj Srbiji</w:t>
      </w:r>
    </w:p>
    <w:p w14:paraId="764FC2AB" w14:textId="045C9F7B" w:rsidR="00DA1C43" w:rsidRPr="00293455" w:rsidRDefault="00AA5314" w:rsidP="002F3FD0">
      <w:pPr>
        <w:spacing w:after="0" w:line="240" w:lineRule="auto"/>
        <w:jc w:val="both"/>
        <w:rPr>
          <w:lang w:val="sr-Latn-RS"/>
        </w:rPr>
      </w:pPr>
      <w:r w:rsidRPr="00293455">
        <w:rPr>
          <w:b/>
          <w:lang w:val="sr-Latn-RS"/>
        </w:rPr>
        <w:t>Specifičan</w:t>
      </w:r>
      <w:r w:rsidR="00DA1C43" w:rsidRPr="00293455">
        <w:rPr>
          <w:b/>
          <w:lang w:val="sr-Latn-RS"/>
        </w:rPr>
        <w:t xml:space="preserve"> cilj: </w:t>
      </w:r>
      <w:r w:rsidR="00DA1C43" w:rsidRPr="00293455">
        <w:rPr>
          <w:lang w:val="sr-Latn-RS"/>
        </w:rPr>
        <w:t>Povećan tržišni potencijal, doprinos lancu vrednosti i otvaranje radnih mesta u</w:t>
      </w:r>
      <w:r w:rsidR="00396AAF" w:rsidRPr="00293455">
        <w:rPr>
          <w:lang w:val="sr-Latn-RS"/>
        </w:rPr>
        <w:t xml:space="preserve"> korisničkim</w:t>
      </w:r>
      <w:r w:rsidR="00DA1C43" w:rsidRPr="00293455">
        <w:rPr>
          <w:lang w:val="sr-Latn-RS"/>
        </w:rPr>
        <w:t xml:space="preserve"> </w:t>
      </w:r>
      <w:r w:rsidR="00396AAF" w:rsidRPr="00293455">
        <w:rPr>
          <w:lang w:val="sr-Latn-RS"/>
        </w:rPr>
        <w:t>preduzetničkim radnjama, mikro i malim preduzećima</w:t>
      </w:r>
    </w:p>
    <w:p w14:paraId="6CEC0FFB" w14:textId="77777777" w:rsidR="00DA1C43" w:rsidRPr="00293455" w:rsidRDefault="00DA1C43" w:rsidP="00EC084B">
      <w:pPr>
        <w:spacing w:after="0" w:line="240" w:lineRule="auto"/>
        <w:jc w:val="both"/>
        <w:rPr>
          <w:lang w:val="sr-Latn-RS"/>
        </w:rPr>
      </w:pPr>
    </w:p>
    <w:p w14:paraId="372E05BF" w14:textId="04FCF6E3" w:rsidR="00DA1C43" w:rsidRPr="00293455" w:rsidRDefault="00AA5314" w:rsidP="00BD6828">
      <w:pPr>
        <w:pStyle w:val="Heading3"/>
        <w:numPr>
          <w:ilvl w:val="0"/>
          <w:numId w:val="2"/>
        </w:numPr>
        <w:rPr>
          <w:rFonts w:ascii="Corbel" w:hAnsi="Corbel"/>
          <w:b/>
          <w:sz w:val="28"/>
          <w:lang w:val="sr-Latn-RS"/>
        </w:rPr>
      </w:pPr>
      <w:r w:rsidRPr="00293455">
        <w:rPr>
          <w:rFonts w:ascii="Corbel" w:hAnsi="Corbel"/>
          <w:b/>
          <w:sz w:val="28"/>
          <w:lang w:val="sr-Latn-RS"/>
        </w:rPr>
        <w:t>Predmet poziva</w:t>
      </w:r>
    </w:p>
    <w:p w14:paraId="7B9F4A13" w14:textId="773700F0" w:rsidR="00DA1C43" w:rsidRPr="00293455" w:rsidRDefault="00DA1C43" w:rsidP="0089235E">
      <w:pPr>
        <w:spacing w:line="276" w:lineRule="auto"/>
        <w:jc w:val="both"/>
        <w:rPr>
          <w:lang w:val="sr-Latn-RS"/>
        </w:rPr>
      </w:pPr>
      <w:r w:rsidRPr="00293455">
        <w:rPr>
          <w:lang w:val="sr-Latn-RS"/>
        </w:rPr>
        <w:t>Poziv obuhvata dv</w:t>
      </w:r>
      <w:r w:rsidR="00573797" w:rsidRPr="00293455">
        <w:rPr>
          <w:lang w:val="sr-Latn-RS"/>
        </w:rPr>
        <w:t>e partije:</w:t>
      </w:r>
      <w:r w:rsidRPr="00293455">
        <w:rPr>
          <w:lang w:val="sr-Latn-RS"/>
        </w:rPr>
        <w:t xml:space="preserve"> </w:t>
      </w:r>
      <w:r w:rsidR="0049322A" w:rsidRPr="00293455">
        <w:rPr>
          <w:lang w:val="sr-Latn-RS"/>
        </w:rPr>
        <w:t xml:space="preserve">Partija </w:t>
      </w:r>
      <w:r w:rsidRPr="00293455">
        <w:rPr>
          <w:lang w:val="sr-Latn-RS"/>
        </w:rPr>
        <w:t xml:space="preserve">1 </w:t>
      </w:r>
      <w:r w:rsidR="0049322A" w:rsidRPr="00293455">
        <w:rPr>
          <w:lang w:val="sr-Latn-RS"/>
        </w:rPr>
        <w:t xml:space="preserve">(LOT1) </w:t>
      </w:r>
      <w:r w:rsidRPr="00293455">
        <w:rPr>
          <w:lang w:val="sr-Latn-RS"/>
        </w:rPr>
        <w:t xml:space="preserve">se </w:t>
      </w:r>
      <w:r w:rsidR="00573797" w:rsidRPr="00293455">
        <w:rPr>
          <w:lang w:val="sr-Latn-RS"/>
        </w:rPr>
        <w:t>odnosi</w:t>
      </w:r>
      <w:r w:rsidRPr="00293455">
        <w:rPr>
          <w:lang w:val="sr-Latn-RS"/>
        </w:rPr>
        <w:t xml:space="preserve"> na novoosnovana preduzeća (registrovana između 1. januara 2016. i 31. decembra 2017</w:t>
      </w:r>
      <w:r w:rsidR="00533555" w:rsidRPr="00293455">
        <w:rPr>
          <w:lang w:val="sr-Latn-RS"/>
        </w:rPr>
        <w:t>.</w:t>
      </w:r>
      <w:r w:rsidR="0049322A" w:rsidRPr="00293455">
        <w:rPr>
          <w:lang w:val="sr-Latn-RS"/>
        </w:rPr>
        <w:t>), a Partija 2 (LOT2)</w:t>
      </w:r>
      <w:r w:rsidR="002B4A43" w:rsidRPr="00293455">
        <w:rPr>
          <w:lang w:val="sr-Latn-RS"/>
        </w:rPr>
        <w:t>,</w:t>
      </w:r>
      <w:r w:rsidRPr="00293455">
        <w:rPr>
          <w:lang w:val="sr-Latn-RS"/>
        </w:rPr>
        <w:t xml:space="preserve"> koji se </w:t>
      </w:r>
      <w:r w:rsidR="00573797" w:rsidRPr="00293455">
        <w:rPr>
          <w:lang w:val="sr-Latn-RS"/>
        </w:rPr>
        <w:t>odnosi</w:t>
      </w:r>
      <w:r w:rsidRPr="00293455">
        <w:rPr>
          <w:lang w:val="sr-Latn-RS"/>
        </w:rPr>
        <w:t xml:space="preserve"> na </w:t>
      </w:r>
      <w:r w:rsidR="00396AAF" w:rsidRPr="00293455">
        <w:rPr>
          <w:lang w:val="sr-Latn-RS"/>
        </w:rPr>
        <w:t>preduzeća</w:t>
      </w:r>
      <w:r w:rsidR="00533555" w:rsidRPr="00293455">
        <w:rPr>
          <w:lang w:val="sr-Latn-RS"/>
        </w:rPr>
        <w:t xml:space="preserve"> </w:t>
      </w:r>
      <w:r w:rsidRPr="00293455">
        <w:rPr>
          <w:lang w:val="sr-Latn-RS"/>
        </w:rPr>
        <w:t xml:space="preserve">koja posluju duže od tri i maksimalno pet godina (registrovana između 1. januara 2013. i 31. decembra 2015). </w:t>
      </w:r>
    </w:p>
    <w:p w14:paraId="28E9A501" w14:textId="77777777" w:rsidR="00DA1C43" w:rsidRPr="00293455" w:rsidRDefault="00DA1C43" w:rsidP="00280471">
      <w:pPr>
        <w:jc w:val="both"/>
        <w:rPr>
          <w:lang w:val="sr-Latn-RS"/>
        </w:rPr>
      </w:pPr>
      <w:r w:rsidRPr="00293455">
        <w:rPr>
          <w:lang w:val="sr-Latn-RS"/>
        </w:rPr>
        <w:t>Aktivnosti koje se kvalifikuju za ovaj Poziv obuhvataju:</w:t>
      </w:r>
    </w:p>
    <w:p w14:paraId="266BD2A2" w14:textId="72190DA2" w:rsidR="00DA1C43" w:rsidRPr="00293455" w:rsidRDefault="00396AAF" w:rsidP="00F1074E">
      <w:pPr>
        <w:numPr>
          <w:ilvl w:val="0"/>
          <w:numId w:val="9"/>
        </w:numPr>
        <w:spacing w:line="240" w:lineRule="auto"/>
        <w:jc w:val="both"/>
        <w:rPr>
          <w:lang w:val="sr-Latn-RS"/>
        </w:rPr>
      </w:pPr>
      <w:r w:rsidRPr="00293455">
        <w:rPr>
          <w:lang w:val="sr-Latn-RS"/>
        </w:rPr>
        <w:t>Nabavka</w:t>
      </w:r>
      <w:r w:rsidR="00DA1C43" w:rsidRPr="00293455">
        <w:rPr>
          <w:lang w:val="sr-Latn-RS"/>
        </w:rPr>
        <w:t xml:space="preserve"> </w:t>
      </w:r>
      <w:r w:rsidR="00DA1C43" w:rsidRPr="00293455">
        <w:rPr>
          <w:b/>
          <w:bCs/>
          <w:lang w:val="sr-Latn-RS"/>
        </w:rPr>
        <w:t>opreme</w:t>
      </w:r>
      <w:r w:rsidR="00DA1C43" w:rsidRPr="00293455">
        <w:rPr>
          <w:rStyle w:val="FootnoteReference"/>
          <w:vertAlign w:val="superscript"/>
          <w:lang w:val="sr-Latn-RS"/>
        </w:rPr>
        <w:footnoteReference w:id="10"/>
      </w:r>
      <w:r w:rsidR="002B4A43" w:rsidRPr="00293455">
        <w:rPr>
          <w:b/>
          <w:bCs/>
          <w:lang w:val="sr-Latn-RS"/>
        </w:rPr>
        <w:t xml:space="preserve"> </w:t>
      </w:r>
      <w:r w:rsidR="00DA1C43" w:rsidRPr="00293455">
        <w:rPr>
          <w:lang w:val="sr-Latn-RS"/>
        </w:rPr>
        <w:t xml:space="preserve">u cilju poboljšanja kvaliteta postojećih ili razvoja novih proizvoda, povećane produktivnosti, </w:t>
      </w:r>
      <w:r w:rsidRPr="00293455">
        <w:rPr>
          <w:lang w:val="sr-Latn-RS"/>
        </w:rPr>
        <w:t>podrške</w:t>
      </w:r>
      <w:r w:rsidR="00DA1C43" w:rsidRPr="00293455">
        <w:rPr>
          <w:lang w:val="sr-Latn-RS"/>
        </w:rPr>
        <w:t xml:space="preserve"> razvoj</w:t>
      </w:r>
      <w:r w:rsidRPr="00293455">
        <w:rPr>
          <w:lang w:val="sr-Latn-RS"/>
        </w:rPr>
        <w:t>a</w:t>
      </w:r>
      <w:r w:rsidR="00DA1C43" w:rsidRPr="00293455">
        <w:rPr>
          <w:lang w:val="sr-Latn-RS"/>
        </w:rPr>
        <w:t xml:space="preserve"> proizvo</w:t>
      </w:r>
      <w:r w:rsidR="008C6E3D" w:rsidRPr="00293455">
        <w:rPr>
          <w:lang w:val="sr-Latn-RS"/>
        </w:rPr>
        <w:t xml:space="preserve">da sa višom dodatom vrednošću, </w:t>
      </w:r>
      <w:r w:rsidRPr="00293455">
        <w:rPr>
          <w:lang w:val="sr-Latn-RS"/>
        </w:rPr>
        <w:t>podrške</w:t>
      </w:r>
      <w:r w:rsidR="00DA1C43" w:rsidRPr="00293455">
        <w:rPr>
          <w:lang w:val="sr-Latn-RS"/>
        </w:rPr>
        <w:t xml:space="preserve"> uvođenj</w:t>
      </w:r>
      <w:r w:rsidRPr="00293455">
        <w:rPr>
          <w:lang w:val="sr-Latn-RS"/>
        </w:rPr>
        <w:t>u</w:t>
      </w:r>
      <w:r w:rsidR="00DA1C43" w:rsidRPr="00293455">
        <w:rPr>
          <w:lang w:val="sr-Latn-RS"/>
        </w:rPr>
        <w:t xml:space="preserve"> inovacija i olakšanog širenja tržišta – što obavezno čini minimum 80% vrednosti </w:t>
      </w:r>
      <w:r w:rsidR="009A5E93" w:rsidRPr="00293455">
        <w:rPr>
          <w:lang w:val="sr-Latn-RS"/>
        </w:rPr>
        <w:t>projekta</w:t>
      </w:r>
      <w:r w:rsidR="002B4A43" w:rsidRPr="00293455">
        <w:rPr>
          <w:lang w:val="sr-Latn-RS"/>
        </w:rPr>
        <w:t>;</w:t>
      </w:r>
    </w:p>
    <w:p w14:paraId="117C5E55" w14:textId="44F26715" w:rsidR="00DA1C43" w:rsidRPr="00293455" w:rsidRDefault="00396AAF" w:rsidP="00F1074E">
      <w:pPr>
        <w:numPr>
          <w:ilvl w:val="0"/>
          <w:numId w:val="9"/>
        </w:numPr>
        <w:spacing w:line="240" w:lineRule="auto"/>
        <w:jc w:val="both"/>
        <w:rPr>
          <w:lang w:val="sr-Latn-RS"/>
        </w:rPr>
      </w:pPr>
      <w:r w:rsidRPr="00293455">
        <w:rPr>
          <w:lang w:val="sr-Latn-RS"/>
        </w:rPr>
        <w:t>Uvođenje</w:t>
      </w:r>
      <w:r w:rsidR="00DA1C43" w:rsidRPr="00293455">
        <w:rPr>
          <w:b/>
          <w:bCs/>
          <w:lang w:val="sr-Latn-RS"/>
        </w:rPr>
        <w:t xml:space="preserve"> usluga</w:t>
      </w:r>
      <w:r w:rsidR="00DA1C43" w:rsidRPr="00293455">
        <w:rPr>
          <w:rStyle w:val="FootnoteReference"/>
          <w:bCs/>
          <w:vertAlign w:val="superscript"/>
          <w:lang w:val="sr-Latn-RS"/>
        </w:rPr>
        <w:footnoteReference w:id="11"/>
      </w:r>
      <w:r w:rsidR="002B4A43" w:rsidRPr="00293455">
        <w:rPr>
          <w:b/>
          <w:bCs/>
          <w:lang w:val="sr-Latn-RS"/>
        </w:rPr>
        <w:t xml:space="preserve"> </w:t>
      </w:r>
      <w:r w:rsidR="00DA1C43" w:rsidRPr="00293455">
        <w:rPr>
          <w:lang w:val="sr-Latn-RS"/>
        </w:rPr>
        <w:t xml:space="preserve">koje doprinose poboljšanju kvaliteta postojećih ili razvoju novih proizvoda, </w:t>
      </w:r>
      <w:r w:rsidRPr="00293455">
        <w:rPr>
          <w:lang w:val="sr-Latn-RS"/>
        </w:rPr>
        <w:t>povaćane</w:t>
      </w:r>
      <w:r w:rsidR="00DA1C43" w:rsidRPr="00293455">
        <w:rPr>
          <w:lang w:val="sr-Latn-RS"/>
        </w:rPr>
        <w:t xml:space="preserve"> produktivnosti</w:t>
      </w:r>
      <w:r w:rsidRPr="00293455">
        <w:rPr>
          <w:lang w:val="sr-Latn-RS"/>
        </w:rPr>
        <w:t>,</w:t>
      </w:r>
      <w:r w:rsidR="00DA1C43" w:rsidRPr="00293455">
        <w:rPr>
          <w:lang w:val="sr-Latn-RS"/>
        </w:rPr>
        <w:t xml:space="preserve"> podr</w:t>
      </w:r>
      <w:r w:rsidRPr="00293455">
        <w:rPr>
          <w:lang w:val="sr-Latn-RS"/>
        </w:rPr>
        <w:t xml:space="preserve">ške </w:t>
      </w:r>
      <w:r w:rsidR="00DA1C43" w:rsidRPr="00293455">
        <w:rPr>
          <w:lang w:val="sr-Latn-RS"/>
        </w:rPr>
        <w:t xml:space="preserve">razvoja proizvoda sa višom dodatom vrednošću, </w:t>
      </w:r>
      <w:r w:rsidRPr="00293455">
        <w:rPr>
          <w:lang w:val="sr-Latn-RS"/>
        </w:rPr>
        <w:t>podrške</w:t>
      </w:r>
      <w:r w:rsidR="00DA1C43" w:rsidRPr="00293455">
        <w:rPr>
          <w:lang w:val="sr-Latn-RS"/>
        </w:rPr>
        <w:t xml:space="preserve"> </w:t>
      </w:r>
      <w:r w:rsidR="00DA1C43" w:rsidRPr="00293455">
        <w:rPr>
          <w:lang w:val="sr-Latn-RS"/>
        </w:rPr>
        <w:lastRenderedPageBreak/>
        <w:t>uvođenj</w:t>
      </w:r>
      <w:r w:rsidRPr="00293455">
        <w:rPr>
          <w:lang w:val="sr-Latn-RS"/>
        </w:rPr>
        <w:t>u</w:t>
      </w:r>
      <w:r w:rsidR="00DA1C43" w:rsidRPr="00293455">
        <w:rPr>
          <w:lang w:val="sr-Latn-RS"/>
        </w:rPr>
        <w:t xml:space="preserve"> inovacija i olakšanom širenju tržišta – što opciono čini maksimalno 20% vrednosti </w:t>
      </w:r>
      <w:r w:rsidR="009A5E93" w:rsidRPr="00293455">
        <w:rPr>
          <w:lang w:val="sr-Latn-RS"/>
        </w:rPr>
        <w:t>projekta</w:t>
      </w:r>
      <w:r w:rsidR="002B4A43" w:rsidRPr="00293455">
        <w:rPr>
          <w:lang w:val="sr-Latn-RS"/>
        </w:rPr>
        <w:t>.</w:t>
      </w:r>
    </w:p>
    <w:p w14:paraId="6B3B8F4F" w14:textId="77777777" w:rsidR="00DA1C43" w:rsidRPr="00293455" w:rsidRDefault="00DA1C43" w:rsidP="00BD6828">
      <w:pPr>
        <w:pStyle w:val="Heading3"/>
        <w:numPr>
          <w:ilvl w:val="0"/>
          <w:numId w:val="2"/>
        </w:numPr>
        <w:rPr>
          <w:rFonts w:ascii="Corbel" w:hAnsi="Corbel"/>
          <w:b/>
          <w:sz w:val="28"/>
          <w:lang w:val="sr-Latn-RS"/>
        </w:rPr>
      </w:pPr>
      <w:r w:rsidRPr="00293455">
        <w:rPr>
          <w:rFonts w:ascii="Corbel" w:hAnsi="Corbel"/>
          <w:b/>
          <w:sz w:val="28"/>
          <w:lang w:val="sr-Latn-RS"/>
        </w:rPr>
        <w:t>Finansijska raspodela i udeo u troškovima</w:t>
      </w:r>
    </w:p>
    <w:p w14:paraId="66F5BEE3" w14:textId="0D3C7DCB" w:rsidR="00DA1C43" w:rsidRPr="00293455" w:rsidRDefault="00DA1C43" w:rsidP="00393735">
      <w:pPr>
        <w:spacing w:after="0" w:line="240" w:lineRule="auto"/>
        <w:jc w:val="both"/>
        <w:rPr>
          <w:lang w:val="sr-Latn-RS"/>
        </w:rPr>
      </w:pPr>
      <w:r w:rsidRPr="00293455">
        <w:rPr>
          <w:lang w:val="sr-Latn-RS"/>
        </w:rPr>
        <w:t>Indikativni ukupni iznos</w:t>
      </w:r>
      <w:r w:rsidR="00396AAF" w:rsidRPr="00293455">
        <w:rPr>
          <w:lang w:val="sr-Latn-RS"/>
        </w:rPr>
        <w:t xml:space="preserve"> sredstava</w:t>
      </w:r>
      <w:r w:rsidRPr="00293455">
        <w:rPr>
          <w:lang w:val="sr-Latn-RS"/>
        </w:rPr>
        <w:t xml:space="preserve"> dostupan </w:t>
      </w:r>
      <w:r w:rsidR="0049322A" w:rsidRPr="00293455">
        <w:rPr>
          <w:lang w:val="sr-Latn-RS"/>
        </w:rPr>
        <w:t>u okviru ovog Poziva</w:t>
      </w:r>
      <w:r w:rsidRPr="00293455">
        <w:rPr>
          <w:lang w:val="sr-Latn-RS"/>
        </w:rPr>
        <w:t xml:space="preserve"> je 4,5 miliona evra. </w:t>
      </w:r>
    </w:p>
    <w:p w14:paraId="7CA8E799" w14:textId="77777777" w:rsidR="00DA1C43" w:rsidRPr="00293455" w:rsidRDefault="00DA1C43" w:rsidP="00393735">
      <w:pPr>
        <w:spacing w:after="0" w:line="240" w:lineRule="auto"/>
        <w:jc w:val="both"/>
        <w:rPr>
          <w:lang w:val="sr-Latn-RS"/>
        </w:rPr>
      </w:pPr>
      <w:r w:rsidRPr="00293455">
        <w:rPr>
          <w:lang w:val="sr-Latn-RS"/>
        </w:rPr>
        <w:t xml:space="preserve">EU PRO Program zadržava pravo </w:t>
      </w:r>
      <w:r w:rsidRPr="00293455">
        <w:rPr>
          <w:b/>
          <w:lang w:val="sr-Latn-RS"/>
        </w:rPr>
        <w:t xml:space="preserve">da ne dodeli </w:t>
      </w:r>
      <w:r w:rsidRPr="00293455">
        <w:rPr>
          <w:lang w:val="sr-Latn-RS"/>
        </w:rPr>
        <w:t>sva dostupna sredstva.</w:t>
      </w:r>
    </w:p>
    <w:p w14:paraId="64B29735" w14:textId="77777777" w:rsidR="0049322A" w:rsidRPr="00293455" w:rsidRDefault="0049322A" w:rsidP="0037393D">
      <w:pPr>
        <w:pStyle w:val="Heading3"/>
        <w:rPr>
          <w:lang w:val="sr-Latn-RS"/>
        </w:rPr>
      </w:pPr>
    </w:p>
    <w:p w14:paraId="37499775" w14:textId="61B8B057" w:rsidR="00DA1C43" w:rsidRPr="00293455" w:rsidRDefault="00DA1C43" w:rsidP="0037393D">
      <w:pPr>
        <w:pStyle w:val="Heading3"/>
        <w:rPr>
          <w:lang w:val="sr-Latn-RS"/>
        </w:rPr>
      </w:pPr>
      <w:r w:rsidRPr="00293455">
        <w:rPr>
          <w:lang w:val="sr-Latn-RS"/>
        </w:rPr>
        <w:t xml:space="preserve">Minimalni i maksimalni iznosi </w:t>
      </w:r>
      <w:r w:rsidR="005624BD" w:rsidRPr="00293455">
        <w:rPr>
          <w:lang w:val="sr-Latn-RS"/>
        </w:rPr>
        <w:t>bespovratnih sredstava po pojedinačnom projektu</w:t>
      </w:r>
      <w:r w:rsidRPr="00293455">
        <w:rPr>
          <w:lang w:val="sr-Latn-RS"/>
        </w:rPr>
        <w:t>:</w:t>
      </w:r>
    </w:p>
    <w:p w14:paraId="1D4429DD" w14:textId="45498BB5" w:rsidR="00DA1C43" w:rsidRPr="00293455" w:rsidRDefault="009A5E93" w:rsidP="0037393D">
      <w:pPr>
        <w:ind w:firstLine="720"/>
        <w:jc w:val="both"/>
        <w:rPr>
          <w:lang w:val="sr-Latn-RS"/>
        </w:rPr>
      </w:pPr>
      <w:r w:rsidRPr="00293455">
        <w:rPr>
          <w:lang w:val="sr-Latn-RS"/>
        </w:rPr>
        <w:t>Partija 1 (</w:t>
      </w:r>
      <w:r w:rsidR="00DA1C43" w:rsidRPr="00293455">
        <w:rPr>
          <w:lang w:val="sr-Latn-RS"/>
        </w:rPr>
        <w:t>LOT1</w:t>
      </w:r>
      <w:r w:rsidRPr="00293455">
        <w:rPr>
          <w:lang w:val="sr-Latn-RS"/>
        </w:rPr>
        <w:t>)</w:t>
      </w:r>
      <w:r w:rsidR="00DA1C43" w:rsidRPr="00293455">
        <w:rPr>
          <w:lang w:val="sr-Latn-RS"/>
        </w:rPr>
        <w:t>: Minimum – 10</w:t>
      </w:r>
      <w:r w:rsidR="00C00533" w:rsidRPr="00293455">
        <w:rPr>
          <w:lang w:val="sr-Latn-RS"/>
        </w:rPr>
        <w:t>.</w:t>
      </w:r>
      <w:r w:rsidR="00DA1C43" w:rsidRPr="00293455">
        <w:rPr>
          <w:lang w:val="sr-Latn-RS"/>
        </w:rPr>
        <w:t xml:space="preserve">000 </w:t>
      </w:r>
      <w:r w:rsidR="00C00533" w:rsidRPr="00293455">
        <w:rPr>
          <w:lang w:val="sr-Latn-RS"/>
        </w:rPr>
        <w:t>e</w:t>
      </w:r>
      <w:r w:rsidR="00DA1C43" w:rsidRPr="00293455">
        <w:rPr>
          <w:lang w:val="sr-Latn-RS"/>
        </w:rPr>
        <w:t>vra, maksimum –20</w:t>
      </w:r>
      <w:r w:rsidR="00C00533" w:rsidRPr="00293455">
        <w:rPr>
          <w:lang w:val="sr-Latn-RS"/>
        </w:rPr>
        <w:t>.</w:t>
      </w:r>
      <w:r w:rsidR="00DA1C43" w:rsidRPr="00293455">
        <w:rPr>
          <w:lang w:val="sr-Latn-RS"/>
        </w:rPr>
        <w:t xml:space="preserve">000 </w:t>
      </w:r>
      <w:r w:rsidR="00C00533" w:rsidRPr="00293455">
        <w:rPr>
          <w:lang w:val="sr-Latn-RS"/>
        </w:rPr>
        <w:t>e</w:t>
      </w:r>
      <w:r w:rsidR="00DA1C43" w:rsidRPr="00293455">
        <w:rPr>
          <w:lang w:val="sr-Latn-RS"/>
        </w:rPr>
        <w:t>vra</w:t>
      </w:r>
    </w:p>
    <w:p w14:paraId="5B06CC44" w14:textId="4C1C51FF" w:rsidR="00DA1C43" w:rsidRPr="00293455" w:rsidRDefault="009A5E93" w:rsidP="005A79FB">
      <w:pPr>
        <w:ind w:left="720"/>
        <w:jc w:val="both"/>
        <w:rPr>
          <w:lang w:val="sr-Latn-RS"/>
        </w:rPr>
      </w:pPr>
      <w:r w:rsidRPr="00293455">
        <w:rPr>
          <w:lang w:val="sr-Latn-RS"/>
        </w:rPr>
        <w:t>Partija 2 (</w:t>
      </w:r>
      <w:r w:rsidR="00DA1C43" w:rsidRPr="00293455">
        <w:rPr>
          <w:lang w:val="sr-Latn-RS"/>
        </w:rPr>
        <w:t>LOT2</w:t>
      </w:r>
      <w:r w:rsidRPr="00293455">
        <w:rPr>
          <w:lang w:val="sr-Latn-RS"/>
        </w:rPr>
        <w:t>)</w:t>
      </w:r>
      <w:r w:rsidR="00DA1C43" w:rsidRPr="00293455">
        <w:rPr>
          <w:lang w:val="sr-Latn-RS"/>
        </w:rPr>
        <w:t xml:space="preserve">: Minimum 10.000 evra, maksimum – 30.000 evra, ili 50.000 evra za </w:t>
      </w:r>
      <w:r w:rsidR="00396AAF" w:rsidRPr="00293455">
        <w:rPr>
          <w:lang w:val="sr-Latn-RS"/>
        </w:rPr>
        <w:t xml:space="preserve">brzorastuća i izvozno orijentisana </w:t>
      </w:r>
      <w:r w:rsidR="00DA1C43" w:rsidRPr="00293455">
        <w:rPr>
          <w:lang w:val="sr-Latn-RS"/>
        </w:rPr>
        <w:t>preduzeća</w:t>
      </w:r>
      <w:r w:rsidR="00DA1C43" w:rsidRPr="00293455">
        <w:rPr>
          <w:rStyle w:val="FootnoteReference"/>
          <w:vertAlign w:val="superscript"/>
          <w:lang w:val="sr-Latn-RS"/>
        </w:rPr>
        <w:footnoteReference w:id="12"/>
      </w:r>
    </w:p>
    <w:p w14:paraId="2ED72366" w14:textId="41C4C136" w:rsidR="00DA1C43" w:rsidRPr="00293455" w:rsidRDefault="005624BD" w:rsidP="0037393D">
      <w:pPr>
        <w:pStyle w:val="Heading3"/>
        <w:rPr>
          <w:lang w:val="sr-Latn-RS"/>
        </w:rPr>
      </w:pPr>
      <w:r w:rsidRPr="00293455">
        <w:rPr>
          <w:lang w:val="sr-Latn-RS"/>
        </w:rPr>
        <w:t>Učešće korisnika</w:t>
      </w:r>
      <w:r w:rsidR="00DA1C43" w:rsidRPr="00293455">
        <w:rPr>
          <w:lang w:val="sr-Latn-RS"/>
        </w:rPr>
        <w:t xml:space="preserve"> u troškovima </w:t>
      </w:r>
    </w:p>
    <w:p w14:paraId="0E75B99A" w14:textId="4ED82BDB" w:rsidR="00DA1C43" w:rsidRPr="00293455" w:rsidRDefault="005624BD" w:rsidP="00DE3267">
      <w:pPr>
        <w:jc w:val="both"/>
        <w:rPr>
          <w:lang w:val="sr-Latn-RS"/>
        </w:rPr>
      </w:pPr>
      <w:r w:rsidRPr="00293455">
        <w:rPr>
          <w:lang w:val="sr-Latn-RS"/>
        </w:rPr>
        <w:t>Korisnici</w:t>
      </w:r>
      <w:r w:rsidR="00DA1C43" w:rsidRPr="00293455">
        <w:rPr>
          <w:lang w:val="sr-Latn-RS"/>
        </w:rPr>
        <w:t xml:space="preserve"> su obavezni da daju gotovinski udeo u troškovima </w:t>
      </w:r>
      <w:r w:rsidRPr="00293455">
        <w:rPr>
          <w:lang w:val="sr-Latn-RS"/>
        </w:rPr>
        <w:t xml:space="preserve">projekta </w:t>
      </w:r>
      <w:r w:rsidR="00DA1C43" w:rsidRPr="00293455">
        <w:rPr>
          <w:lang w:val="sr-Latn-RS"/>
        </w:rPr>
        <w:t>u sledećim iznosima:</w:t>
      </w:r>
    </w:p>
    <w:p w14:paraId="555E0F9A" w14:textId="2CE322AA" w:rsidR="00DA1C43" w:rsidRPr="00293455" w:rsidRDefault="009A5E93" w:rsidP="0037393D">
      <w:pPr>
        <w:ind w:firstLine="720"/>
        <w:jc w:val="both"/>
        <w:rPr>
          <w:lang w:val="sr-Latn-RS"/>
        </w:rPr>
      </w:pPr>
      <w:r w:rsidRPr="00293455">
        <w:rPr>
          <w:lang w:val="sr-Latn-RS"/>
        </w:rPr>
        <w:t>Partija 1 (</w:t>
      </w:r>
      <w:r w:rsidR="00DA1C43" w:rsidRPr="00293455">
        <w:rPr>
          <w:lang w:val="sr-Latn-RS"/>
        </w:rPr>
        <w:t>LOT1</w:t>
      </w:r>
      <w:r w:rsidRPr="00293455">
        <w:rPr>
          <w:lang w:val="sr-Latn-RS"/>
        </w:rPr>
        <w:t>)</w:t>
      </w:r>
      <w:r w:rsidR="00DA1C43" w:rsidRPr="00293455">
        <w:rPr>
          <w:lang w:val="sr-Latn-RS"/>
        </w:rPr>
        <w:t>: 20% ukupnih prihvaćenih troškova projekta</w:t>
      </w:r>
      <w:r w:rsidR="00B47233" w:rsidRPr="00293455">
        <w:rPr>
          <w:lang w:val="sr-Latn-RS"/>
        </w:rPr>
        <w:t>,</w:t>
      </w:r>
    </w:p>
    <w:p w14:paraId="14896BCD" w14:textId="6FD551AC" w:rsidR="00DA1C43" w:rsidRDefault="009A5E93" w:rsidP="0037393D">
      <w:pPr>
        <w:ind w:firstLine="720"/>
        <w:jc w:val="both"/>
        <w:rPr>
          <w:lang w:val="sr-Latn-RS"/>
        </w:rPr>
      </w:pPr>
      <w:r w:rsidRPr="00293455">
        <w:rPr>
          <w:lang w:val="sr-Latn-RS"/>
        </w:rPr>
        <w:t>Partija 2 (</w:t>
      </w:r>
      <w:r w:rsidR="00DA1C43" w:rsidRPr="00293455">
        <w:rPr>
          <w:lang w:val="sr-Latn-RS"/>
        </w:rPr>
        <w:t>LOT2</w:t>
      </w:r>
      <w:r w:rsidRPr="00293455">
        <w:rPr>
          <w:lang w:val="sr-Latn-RS"/>
        </w:rPr>
        <w:t>)</w:t>
      </w:r>
      <w:r w:rsidR="00DA1C43" w:rsidRPr="00293455">
        <w:rPr>
          <w:lang w:val="sr-Latn-RS"/>
        </w:rPr>
        <w:t>: 30% ukupnih prihvaćenih troškova projekta</w:t>
      </w:r>
      <w:r w:rsidR="00B47233" w:rsidRPr="00293455">
        <w:rPr>
          <w:lang w:val="sr-Latn-RS"/>
        </w:rPr>
        <w:t>.</w:t>
      </w:r>
    </w:p>
    <w:p w14:paraId="578BBD9E" w14:textId="5530CE3E" w:rsidR="00DA1C43" w:rsidRPr="00293455" w:rsidRDefault="00DA1C43" w:rsidP="00BD6828">
      <w:pPr>
        <w:pStyle w:val="Heading3"/>
        <w:numPr>
          <w:ilvl w:val="0"/>
          <w:numId w:val="2"/>
        </w:numPr>
        <w:rPr>
          <w:rFonts w:ascii="Corbel" w:hAnsi="Corbel"/>
          <w:b/>
          <w:sz w:val="28"/>
          <w:lang w:val="sr-Latn-RS"/>
        </w:rPr>
      </w:pPr>
      <w:r w:rsidRPr="00293455">
        <w:rPr>
          <w:rFonts w:ascii="Corbel" w:hAnsi="Corbel"/>
          <w:b/>
          <w:sz w:val="28"/>
          <w:lang w:val="sr-Latn-RS"/>
        </w:rPr>
        <w:t xml:space="preserve">Trajanje </w:t>
      </w:r>
      <w:r w:rsidR="00984B88" w:rsidRPr="00293455">
        <w:rPr>
          <w:rFonts w:ascii="Corbel" w:hAnsi="Corbel"/>
          <w:b/>
          <w:sz w:val="28"/>
          <w:lang w:val="sr-Latn-RS"/>
        </w:rPr>
        <w:t>projekta</w:t>
      </w:r>
    </w:p>
    <w:p w14:paraId="26F63556" w14:textId="61AE9873" w:rsidR="00DA1C43" w:rsidRPr="00293455" w:rsidRDefault="00DA1C43" w:rsidP="00A57216">
      <w:pPr>
        <w:jc w:val="both"/>
        <w:rPr>
          <w:lang w:val="sr-Latn-RS"/>
        </w:rPr>
      </w:pPr>
      <w:r w:rsidRPr="00293455">
        <w:rPr>
          <w:lang w:val="sr-Latn-RS"/>
        </w:rPr>
        <w:t>Planiran</w:t>
      </w:r>
      <w:r w:rsidR="005624BD" w:rsidRPr="00293455">
        <w:rPr>
          <w:lang w:val="sr-Latn-RS"/>
        </w:rPr>
        <w:t>e aktivnosti projekta ne mogu da traju</w:t>
      </w:r>
      <w:r w:rsidRPr="00293455">
        <w:rPr>
          <w:lang w:val="sr-Latn-RS"/>
        </w:rPr>
        <w:t xml:space="preserve"> duže od 12 (dvanaest) meseci. Ovaj period uključuje nabavku i instalaciju opreme i, ako je planirano, </w:t>
      </w:r>
      <w:r w:rsidR="005624BD" w:rsidRPr="00293455">
        <w:rPr>
          <w:lang w:val="sr-Latn-RS"/>
        </w:rPr>
        <w:t>uvođenje</w:t>
      </w:r>
      <w:r w:rsidRPr="00293455">
        <w:rPr>
          <w:lang w:val="sr-Latn-RS"/>
        </w:rPr>
        <w:t xml:space="preserve"> usl</w:t>
      </w:r>
      <w:r w:rsidR="005624BD" w:rsidRPr="00293455">
        <w:rPr>
          <w:lang w:val="sr-Latn-RS"/>
        </w:rPr>
        <w:t>uga, kao i ostvarivanje predviđe</w:t>
      </w:r>
      <w:r w:rsidRPr="00293455">
        <w:rPr>
          <w:lang w:val="sr-Latn-RS"/>
        </w:rPr>
        <w:t xml:space="preserve">nih rezultata </w:t>
      </w:r>
      <w:r w:rsidR="005624BD" w:rsidRPr="00293455">
        <w:rPr>
          <w:lang w:val="sr-Latn-RS"/>
        </w:rPr>
        <w:t xml:space="preserve">projekta </w:t>
      </w:r>
      <w:r w:rsidRPr="00293455">
        <w:rPr>
          <w:lang w:val="sr-Latn-RS"/>
        </w:rPr>
        <w:t>i usvajanje konačnog izveštaja.</w:t>
      </w:r>
    </w:p>
    <w:p w14:paraId="27F49656" w14:textId="70330D59" w:rsidR="00DA1C43" w:rsidRPr="00293455" w:rsidRDefault="00DA1C43" w:rsidP="0031582D">
      <w:pPr>
        <w:pStyle w:val="Heading3"/>
        <w:numPr>
          <w:ilvl w:val="0"/>
          <w:numId w:val="2"/>
        </w:numPr>
        <w:rPr>
          <w:rFonts w:ascii="Corbel" w:hAnsi="Corbel"/>
          <w:b/>
          <w:sz w:val="28"/>
          <w:lang w:val="sr-Latn-RS"/>
        </w:rPr>
      </w:pPr>
      <w:r w:rsidRPr="00293455">
        <w:rPr>
          <w:rFonts w:ascii="Corbel" w:hAnsi="Corbel"/>
          <w:b/>
          <w:sz w:val="28"/>
          <w:lang w:val="sr-Latn-RS"/>
        </w:rPr>
        <w:t xml:space="preserve">Vidljivost </w:t>
      </w:r>
      <w:r w:rsidR="00295E9B">
        <w:rPr>
          <w:rFonts w:ascii="Corbel" w:hAnsi="Corbel"/>
          <w:b/>
          <w:sz w:val="28"/>
          <w:lang w:val="sr-Latn-RS"/>
        </w:rPr>
        <w:t>projekta</w:t>
      </w:r>
    </w:p>
    <w:p w14:paraId="3C532F31" w14:textId="50D69B9F" w:rsidR="00DA1C43" w:rsidRPr="00293455" w:rsidRDefault="005624BD" w:rsidP="0031582D">
      <w:pPr>
        <w:spacing w:after="0" w:line="240" w:lineRule="auto"/>
        <w:jc w:val="both"/>
        <w:rPr>
          <w:lang w:val="sr-Latn-RS"/>
        </w:rPr>
      </w:pPr>
      <w:r w:rsidRPr="00293455">
        <w:rPr>
          <w:lang w:val="sr-Latn-RS"/>
        </w:rPr>
        <w:t>Korisnici</w:t>
      </w:r>
      <w:r w:rsidR="00DA1C43" w:rsidRPr="00293455">
        <w:rPr>
          <w:lang w:val="sr-Latn-RS"/>
        </w:rPr>
        <w:t xml:space="preserve"> moraju da preuzmu neophodne korake kako bi promovisali finansij</w:t>
      </w:r>
      <w:r w:rsidRPr="00293455">
        <w:rPr>
          <w:lang w:val="sr-Latn-RS"/>
        </w:rPr>
        <w:t>ski doprinos Evropske unije</w:t>
      </w:r>
      <w:r w:rsidR="00984B88" w:rsidRPr="00293455">
        <w:rPr>
          <w:lang w:val="sr-Latn-RS"/>
        </w:rPr>
        <w:t>.</w:t>
      </w:r>
      <w:r w:rsidR="00DA1C43" w:rsidRPr="00293455">
        <w:rPr>
          <w:lang w:val="sr-Latn-RS"/>
        </w:rPr>
        <w:t xml:space="preserve"> </w:t>
      </w:r>
      <w:r w:rsidR="00984B88" w:rsidRPr="00293455">
        <w:rPr>
          <w:lang w:val="sr-Latn-RS"/>
        </w:rPr>
        <w:t>Vidiljivost obuhvata</w:t>
      </w:r>
      <w:r w:rsidR="00DA1C43" w:rsidRPr="00293455">
        <w:rPr>
          <w:lang w:val="sr-Latn-RS"/>
        </w:rPr>
        <w:t xml:space="preserve">, ali se ne </w:t>
      </w:r>
      <w:r w:rsidRPr="00293455">
        <w:rPr>
          <w:lang w:val="sr-Latn-RS"/>
        </w:rPr>
        <w:t>ograničava na</w:t>
      </w:r>
      <w:r w:rsidR="00DA1C43" w:rsidRPr="00293455">
        <w:rPr>
          <w:lang w:val="sr-Latn-RS"/>
        </w:rPr>
        <w:t xml:space="preserve"> jasno vizuelno prepoznavanje </w:t>
      </w:r>
      <w:r w:rsidR="00984B88" w:rsidRPr="00293455">
        <w:rPr>
          <w:lang w:val="sr-Latn-RS"/>
        </w:rPr>
        <w:t xml:space="preserve">projekta </w:t>
      </w:r>
      <w:r w:rsidR="00DA1C43" w:rsidRPr="00293455">
        <w:rPr>
          <w:lang w:val="sr-Latn-RS"/>
        </w:rPr>
        <w:t xml:space="preserve">na licu mesta, učešće u raznim medijskim aktivnostima i događajima, uključujući i one čija je namera da podignu svest posebne ili opšte publike o sveukupnoj podršci Evropske unije Srbiji. To uključuje, ali se ne ograničava samo na televizijske intervjue i intervjue u ostalim medijima, učešće na </w:t>
      </w:r>
      <w:r w:rsidR="000815F6" w:rsidRPr="00293455">
        <w:rPr>
          <w:lang w:val="sr-Latn-RS"/>
        </w:rPr>
        <w:t xml:space="preserve">važnim </w:t>
      </w:r>
      <w:r w:rsidR="00DA1C43" w:rsidRPr="00293455">
        <w:rPr>
          <w:lang w:val="sr-Latn-RS"/>
        </w:rPr>
        <w:t>događajima i relevantnim onlajn i ličnim istraživanjima o temama u vezi sa Programom. U tom pogledu kandidati moraju da se pridržavaju ciljeva i prioriteta i da garantuju vidljivost EU finansiranja</w:t>
      </w:r>
      <w:r w:rsidR="00B47233" w:rsidRPr="00293455">
        <w:rPr>
          <w:lang w:val="sr-Latn-RS"/>
        </w:rPr>
        <w:t>.</w:t>
      </w:r>
      <w:r w:rsidR="00DA1C43" w:rsidRPr="00293455">
        <w:rPr>
          <w:rStyle w:val="FootnoteReference"/>
          <w:vertAlign w:val="superscript"/>
          <w:lang w:val="sr-Latn-RS"/>
        </w:rPr>
        <w:footnoteReference w:id="13"/>
      </w:r>
    </w:p>
    <w:p w14:paraId="5E463893" w14:textId="77777777" w:rsidR="00DA1C43" w:rsidRPr="00293455" w:rsidRDefault="00DA1C43" w:rsidP="00A57216">
      <w:pPr>
        <w:jc w:val="both"/>
        <w:rPr>
          <w:lang w:val="sr-Latn-RS"/>
        </w:rPr>
      </w:pPr>
    </w:p>
    <w:p w14:paraId="46F54E12" w14:textId="77777777" w:rsidR="00DA1C43" w:rsidRPr="00293455" w:rsidRDefault="00DA1C43" w:rsidP="0031582D">
      <w:pPr>
        <w:pStyle w:val="Heading3"/>
        <w:numPr>
          <w:ilvl w:val="0"/>
          <w:numId w:val="2"/>
        </w:numPr>
        <w:rPr>
          <w:rFonts w:ascii="Corbel" w:hAnsi="Corbel"/>
          <w:b/>
          <w:sz w:val="28"/>
          <w:lang w:val="sr-Latn-RS"/>
        </w:rPr>
      </w:pPr>
      <w:r w:rsidRPr="00293455">
        <w:rPr>
          <w:rFonts w:ascii="Corbel" w:hAnsi="Corbel"/>
          <w:b/>
          <w:sz w:val="28"/>
          <w:lang w:val="sr-Latn-RS"/>
        </w:rPr>
        <w:t>Kriterijumi</w:t>
      </w:r>
    </w:p>
    <w:p w14:paraId="4BC0ED3E" w14:textId="77C2C9BA" w:rsidR="00DA1C43" w:rsidRPr="00293455" w:rsidRDefault="00DA1C43" w:rsidP="00FB1F17">
      <w:pPr>
        <w:spacing w:after="0" w:line="240" w:lineRule="auto"/>
        <w:jc w:val="both"/>
        <w:rPr>
          <w:lang w:val="sr-Latn-RS"/>
        </w:rPr>
      </w:pPr>
      <w:r w:rsidRPr="00293455">
        <w:rPr>
          <w:lang w:val="sr-Latn-RS"/>
        </w:rPr>
        <w:t xml:space="preserve">Procena i </w:t>
      </w:r>
      <w:r w:rsidR="000815F6" w:rsidRPr="00293455">
        <w:rPr>
          <w:lang w:val="sr-Latn-RS"/>
        </w:rPr>
        <w:t>rangiranje</w:t>
      </w:r>
      <w:r w:rsidRPr="00293455">
        <w:rPr>
          <w:lang w:val="sr-Latn-RS"/>
        </w:rPr>
        <w:t xml:space="preserve"> dobijenih predloga projekta biće obavljene u skladu sa sledećim kriterijumima, uključujući eliminatorne opšte kriterijume kvalifikovanosti, evaluaciju koncepata i evaluacione kriterijume za kompletnu prijavu. </w:t>
      </w:r>
    </w:p>
    <w:p w14:paraId="435A4228" w14:textId="77777777" w:rsidR="00DA1C43" w:rsidRPr="00293455" w:rsidRDefault="00DA1C43" w:rsidP="00FB1F17">
      <w:pPr>
        <w:spacing w:after="0" w:line="240" w:lineRule="auto"/>
        <w:jc w:val="both"/>
        <w:rPr>
          <w:lang w:val="sr-Latn-RS"/>
        </w:rPr>
      </w:pPr>
    </w:p>
    <w:p w14:paraId="78A8E22D" w14:textId="3F37FED6" w:rsidR="00DA1C43" w:rsidRPr="00293455" w:rsidRDefault="00AA5314" w:rsidP="00FB1F17">
      <w:pPr>
        <w:pStyle w:val="Heading3"/>
        <w:numPr>
          <w:ilvl w:val="0"/>
          <w:numId w:val="25"/>
        </w:numPr>
        <w:rPr>
          <w:b/>
          <w:lang w:val="sr-Latn-RS"/>
        </w:rPr>
      </w:pPr>
      <w:r w:rsidRPr="00293455">
        <w:rPr>
          <w:b/>
          <w:lang w:val="sr-Latn-RS"/>
        </w:rPr>
        <w:lastRenderedPageBreak/>
        <w:t>Opšti k</w:t>
      </w:r>
      <w:r w:rsidR="00DA1C43" w:rsidRPr="00293455">
        <w:rPr>
          <w:b/>
          <w:lang w:val="sr-Latn-RS"/>
        </w:rPr>
        <w:t>r</w:t>
      </w:r>
      <w:r w:rsidRPr="00293455">
        <w:rPr>
          <w:b/>
          <w:lang w:val="sr-Latn-RS"/>
        </w:rPr>
        <w:t>iterijumi za učešće</w:t>
      </w:r>
    </w:p>
    <w:p w14:paraId="01F9DCE6" w14:textId="77777777" w:rsidR="00DA1C43" w:rsidRPr="00293455" w:rsidRDefault="00DA1C43" w:rsidP="00BD6828">
      <w:pPr>
        <w:pStyle w:val="Heading3"/>
        <w:rPr>
          <w:lang w:val="sr-Latn-RS"/>
        </w:rPr>
      </w:pPr>
      <w:r w:rsidRPr="00293455">
        <w:rPr>
          <w:lang w:val="sr-Latn-RS"/>
        </w:rPr>
        <w:t xml:space="preserve">Registracija </w:t>
      </w:r>
    </w:p>
    <w:p w14:paraId="699C2377" w14:textId="4FE69A5F" w:rsidR="00DA1C43" w:rsidRPr="00293455" w:rsidRDefault="00DA1C43" w:rsidP="001C1E80">
      <w:pPr>
        <w:pStyle w:val="ListParagraph"/>
        <w:numPr>
          <w:ilvl w:val="0"/>
          <w:numId w:val="4"/>
        </w:numPr>
        <w:jc w:val="both"/>
        <w:rPr>
          <w:lang w:val="sr-Latn-RS"/>
        </w:rPr>
      </w:pPr>
      <w:r w:rsidRPr="00293455">
        <w:rPr>
          <w:lang w:val="sr-Latn-RS"/>
        </w:rPr>
        <w:t xml:space="preserve">Preduzetnici i </w:t>
      </w:r>
      <w:r w:rsidR="00670A10" w:rsidRPr="00293455">
        <w:rPr>
          <w:lang w:val="sr-Latn-RS"/>
        </w:rPr>
        <w:t>p</w:t>
      </w:r>
      <w:r w:rsidR="001C1E80" w:rsidRPr="00293455">
        <w:rPr>
          <w:lang w:val="sr-Latn-RS"/>
        </w:rPr>
        <w:t>rivredn</w:t>
      </w:r>
      <w:r w:rsidR="00670A10" w:rsidRPr="00293455">
        <w:rPr>
          <w:lang w:val="sr-Latn-RS"/>
        </w:rPr>
        <w:t>a</w:t>
      </w:r>
      <w:r w:rsidR="001C1E80" w:rsidRPr="00293455">
        <w:rPr>
          <w:lang w:val="sr-Latn-RS"/>
        </w:rPr>
        <w:t xml:space="preserve"> društva</w:t>
      </w:r>
      <w:r w:rsidRPr="00293455">
        <w:rPr>
          <w:lang w:val="sr-Latn-RS"/>
        </w:rPr>
        <w:t xml:space="preserve"> (u daljem tekstu „Preduzeća“)</w:t>
      </w:r>
      <w:r w:rsidRPr="00293455">
        <w:rPr>
          <w:rStyle w:val="FootnoteReference"/>
          <w:vertAlign w:val="superscript"/>
          <w:lang w:val="sr-Latn-RS"/>
        </w:rPr>
        <w:footnoteReference w:id="14"/>
      </w:r>
      <w:r w:rsidRPr="00293455">
        <w:rPr>
          <w:lang w:val="sr-Latn-RS"/>
        </w:rPr>
        <w:t xml:space="preserve"> registrovana u Agenciji za privredne registre Srbije (APR) i razvrstani u mikro i mala preduzeća</w:t>
      </w:r>
      <w:r w:rsidRPr="00293455">
        <w:rPr>
          <w:rStyle w:val="FootnoteReference"/>
          <w:vertAlign w:val="superscript"/>
          <w:lang w:val="sr-Latn-RS"/>
        </w:rPr>
        <w:footnoteReference w:id="15"/>
      </w:r>
      <w:r w:rsidRPr="00293455">
        <w:rPr>
          <w:lang w:val="sr-Latn-RS"/>
        </w:rPr>
        <w:t xml:space="preserve"> na osnovu finansijskih izveštaja za 2017. </w:t>
      </w:r>
      <w:r w:rsidRPr="00293455">
        <w:rPr>
          <w:rStyle w:val="FootnoteReference"/>
          <w:vertAlign w:val="superscript"/>
          <w:lang w:val="sr-Latn-RS"/>
        </w:rPr>
        <w:footnoteReference w:id="16"/>
      </w:r>
    </w:p>
    <w:p w14:paraId="26098A1D" w14:textId="057993D8" w:rsidR="00DA1C43" w:rsidRPr="00293455" w:rsidRDefault="00DA1C43" w:rsidP="00330F4D">
      <w:pPr>
        <w:pStyle w:val="ListParagraph"/>
        <w:numPr>
          <w:ilvl w:val="0"/>
          <w:numId w:val="4"/>
        </w:numPr>
        <w:jc w:val="both"/>
        <w:rPr>
          <w:lang w:val="sr-Latn-RS"/>
        </w:rPr>
      </w:pPr>
      <w:r w:rsidRPr="00293455">
        <w:rPr>
          <w:lang w:val="sr-Latn-RS"/>
        </w:rPr>
        <w:t>Preduzeća registrovana na teritoriji 99 lokalnih jedinica samouprave u okviru Programa</w:t>
      </w:r>
      <w:r w:rsidRPr="00293455">
        <w:rPr>
          <w:rStyle w:val="FootnoteReference"/>
          <w:vertAlign w:val="superscript"/>
          <w:lang w:val="sr-Latn-RS"/>
        </w:rPr>
        <w:footnoteReference w:id="17"/>
      </w:r>
      <w:r w:rsidRPr="00293455">
        <w:rPr>
          <w:lang w:val="sr-Latn-RS"/>
        </w:rPr>
        <w:t xml:space="preserve"> u dva statistička regiona: </w:t>
      </w:r>
      <w:r w:rsidRPr="00293455">
        <w:rPr>
          <w:rFonts w:cs="Arial"/>
          <w:lang w:val="sr-Latn-RS"/>
        </w:rPr>
        <w:t xml:space="preserve">Šumadiji i </w:t>
      </w:r>
      <w:r w:rsidR="00B47233" w:rsidRPr="00293455">
        <w:rPr>
          <w:rFonts w:cs="Arial"/>
          <w:lang w:val="sr-Latn-RS"/>
        </w:rPr>
        <w:t>Z</w:t>
      </w:r>
      <w:r w:rsidRPr="00293455">
        <w:rPr>
          <w:rFonts w:cs="Arial"/>
          <w:lang w:val="sr-Latn-RS"/>
        </w:rPr>
        <w:t xml:space="preserve">apadnoj Srbiji, odnosno </w:t>
      </w:r>
      <w:r w:rsidR="00B47233" w:rsidRPr="00293455">
        <w:rPr>
          <w:rFonts w:cs="Arial"/>
          <w:lang w:val="sr-Latn-RS"/>
        </w:rPr>
        <w:t>J</w:t>
      </w:r>
      <w:r w:rsidRPr="00293455">
        <w:rPr>
          <w:rFonts w:cs="Arial"/>
          <w:lang w:val="sr-Latn-RS"/>
        </w:rPr>
        <w:t xml:space="preserve">užnoj i </w:t>
      </w:r>
      <w:r w:rsidR="00B47233" w:rsidRPr="00293455">
        <w:rPr>
          <w:rFonts w:cs="Arial"/>
          <w:lang w:val="sr-Latn-RS"/>
        </w:rPr>
        <w:t>I</w:t>
      </w:r>
      <w:r w:rsidRPr="00293455">
        <w:rPr>
          <w:rFonts w:cs="Arial"/>
          <w:lang w:val="sr-Latn-RS"/>
        </w:rPr>
        <w:t>stočnoj Srbiji</w:t>
      </w:r>
    </w:p>
    <w:p w14:paraId="57044B02" w14:textId="655F759A" w:rsidR="00DA1C43" w:rsidRPr="00293455" w:rsidRDefault="00DA1C43" w:rsidP="00820227">
      <w:pPr>
        <w:pStyle w:val="ListParagraph"/>
        <w:numPr>
          <w:ilvl w:val="0"/>
          <w:numId w:val="4"/>
        </w:numPr>
        <w:jc w:val="both"/>
        <w:rPr>
          <w:lang w:val="sr-Latn-RS"/>
        </w:rPr>
      </w:pPr>
      <w:r w:rsidRPr="00293455">
        <w:rPr>
          <w:lang w:val="sr-Latn-RS"/>
        </w:rPr>
        <w:t>Preduzeća osnovana između 1. januara 2016. i 31. decembra 2017. na neodređeni period i sa aktivnim statusom u APR-u (za LOT1)</w:t>
      </w:r>
      <w:r w:rsidRPr="00293455">
        <w:rPr>
          <w:rStyle w:val="FootnoteReference"/>
          <w:vertAlign w:val="superscript"/>
          <w:lang w:val="sr-Latn-RS"/>
        </w:rPr>
        <w:footnoteReference w:id="18"/>
      </w:r>
    </w:p>
    <w:p w14:paraId="5ABE68B6" w14:textId="49B07FDB" w:rsidR="00DA1C43" w:rsidRPr="00293455" w:rsidRDefault="00DA1C43" w:rsidP="00207AB0">
      <w:pPr>
        <w:pStyle w:val="ListParagraph"/>
        <w:numPr>
          <w:ilvl w:val="0"/>
          <w:numId w:val="4"/>
        </w:numPr>
        <w:jc w:val="both"/>
        <w:rPr>
          <w:lang w:val="sr-Latn-RS"/>
        </w:rPr>
      </w:pPr>
      <w:r w:rsidRPr="00293455">
        <w:rPr>
          <w:lang w:val="sr-Latn-RS"/>
        </w:rPr>
        <w:t>Preduzeća osnovana između 1. januara 2013</w:t>
      </w:r>
      <w:r w:rsidR="00B47233" w:rsidRPr="00293455">
        <w:rPr>
          <w:lang w:val="sr-Latn-RS"/>
        </w:rPr>
        <w:t>.</w:t>
      </w:r>
      <w:r w:rsidRPr="00293455">
        <w:rPr>
          <w:lang w:val="sr-Latn-RS"/>
        </w:rPr>
        <w:t xml:space="preserve"> i 31. decembra 2015. na neodređeni period i sa aktiv</w:t>
      </w:r>
      <w:r w:rsidR="008C6E3D" w:rsidRPr="00293455">
        <w:rPr>
          <w:lang w:val="sr-Latn-RS"/>
        </w:rPr>
        <w:t>nim statusom u APR-u (za LOT2)</w:t>
      </w:r>
    </w:p>
    <w:p w14:paraId="55C3F7EA" w14:textId="64CBC5E2" w:rsidR="00DA1C43" w:rsidRPr="00293455" w:rsidRDefault="00DA1C43" w:rsidP="009A7ABE">
      <w:pPr>
        <w:pStyle w:val="ListParagraph"/>
        <w:numPr>
          <w:ilvl w:val="0"/>
          <w:numId w:val="4"/>
        </w:numPr>
        <w:spacing w:after="0"/>
        <w:ind w:right="4"/>
        <w:jc w:val="both"/>
        <w:rPr>
          <w:lang w:val="sr-Latn-RS"/>
        </w:rPr>
      </w:pPr>
      <w:r w:rsidRPr="00293455">
        <w:rPr>
          <w:lang w:val="sr-Latn-RS"/>
        </w:rPr>
        <w:t xml:space="preserve">Preduzeća registrovana za proizvodnju ili usluge, </w:t>
      </w:r>
      <w:r w:rsidRPr="00293455">
        <w:rPr>
          <w:u w:val="single"/>
          <w:lang w:val="sr-Latn-RS"/>
        </w:rPr>
        <w:t>ne računajući</w:t>
      </w:r>
      <w:r w:rsidRPr="00293455">
        <w:rPr>
          <w:lang w:val="sr-Latn-RS"/>
        </w:rPr>
        <w:t xml:space="preserve"> sledeće kategorije</w:t>
      </w:r>
      <w:r w:rsidR="00B47233" w:rsidRPr="00293455">
        <w:rPr>
          <w:lang w:val="sr-Latn-RS"/>
        </w:rPr>
        <w:t>:</w:t>
      </w:r>
    </w:p>
    <w:p w14:paraId="5A0AB821" w14:textId="02254165" w:rsidR="00DA1C43" w:rsidRPr="00293455" w:rsidRDefault="00DA1C43" w:rsidP="009A7ABE">
      <w:pPr>
        <w:pStyle w:val="ListParagraph"/>
        <w:numPr>
          <w:ilvl w:val="1"/>
          <w:numId w:val="3"/>
        </w:numPr>
        <w:spacing w:after="0"/>
        <w:ind w:right="4"/>
        <w:jc w:val="both"/>
        <w:rPr>
          <w:lang w:val="sr-Latn-RS"/>
        </w:rPr>
      </w:pPr>
      <w:r w:rsidRPr="00293455">
        <w:rPr>
          <w:lang w:val="sr-Latn-RS"/>
        </w:rPr>
        <w:t xml:space="preserve">Primarna poljoprivredna proizvodnja (primarna poljoprivredna proizvodnja obuhvata uzgajanje useva i uzgajanje životinja, kao </w:t>
      </w:r>
      <w:r w:rsidR="00B47233" w:rsidRPr="00293455">
        <w:rPr>
          <w:lang w:val="sr-Latn-RS"/>
        </w:rPr>
        <w:t>i</w:t>
      </w:r>
      <w:r w:rsidRPr="00293455">
        <w:rPr>
          <w:lang w:val="sr-Latn-RS"/>
        </w:rPr>
        <w:t xml:space="preserve"> ostale svrhe u direktnoj vezi sa uzgajanjem biljaka životinja, kao i skladištenje. Kupovina opreme za obavljanje pakovanja, sortiranja, obrade i zamrzavanja, na primer hladnjače ili staklenike) </w:t>
      </w:r>
    </w:p>
    <w:p w14:paraId="6846A7F2" w14:textId="77777777" w:rsidR="00DA1C43" w:rsidRPr="00293455" w:rsidRDefault="00DA1C43" w:rsidP="009A7ABE">
      <w:pPr>
        <w:pStyle w:val="ListParagraph"/>
        <w:numPr>
          <w:ilvl w:val="1"/>
          <w:numId w:val="3"/>
        </w:numPr>
        <w:spacing w:after="0"/>
        <w:ind w:right="4"/>
        <w:jc w:val="both"/>
        <w:rPr>
          <w:lang w:val="sr-Latn-RS"/>
        </w:rPr>
      </w:pPr>
      <w:r w:rsidRPr="00293455">
        <w:rPr>
          <w:lang w:val="sr-Latn-RS"/>
        </w:rPr>
        <w:t>Proizvodnja kontrolisanih supstanci, uključujući:</w:t>
      </w:r>
    </w:p>
    <w:p w14:paraId="79A5E692" w14:textId="6A4A70D8" w:rsidR="00DA1C43" w:rsidRPr="00293455" w:rsidRDefault="00DA1C43" w:rsidP="009A7ABE">
      <w:pPr>
        <w:pStyle w:val="ListParagraph"/>
        <w:numPr>
          <w:ilvl w:val="2"/>
          <w:numId w:val="3"/>
        </w:numPr>
        <w:spacing w:after="0"/>
        <w:ind w:right="4"/>
        <w:jc w:val="both"/>
        <w:rPr>
          <w:lang w:val="sr-Latn-RS"/>
        </w:rPr>
      </w:pPr>
      <w:r w:rsidRPr="00293455">
        <w:rPr>
          <w:lang w:val="sr-Latn-RS"/>
        </w:rPr>
        <w:t>duvansku industriju</w:t>
      </w:r>
    </w:p>
    <w:p w14:paraId="6C8B7250" w14:textId="44D7EE4E" w:rsidR="00DA1C43" w:rsidRPr="00293455" w:rsidRDefault="00DA1C43" w:rsidP="009A7ABE">
      <w:pPr>
        <w:pStyle w:val="ListParagraph"/>
        <w:numPr>
          <w:ilvl w:val="2"/>
          <w:numId w:val="3"/>
        </w:numPr>
        <w:spacing w:after="0"/>
        <w:ind w:right="4"/>
        <w:jc w:val="both"/>
        <w:rPr>
          <w:lang w:val="sr-Latn-RS"/>
        </w:rPr>
      </w:pPr>
      <w:r w:rsidRPr="00293455">
        <w:rPr>
          <w:lang w:val="sr-Latn-RS"/>
        </w:rPr>
        <w:t>proizvođače alkoholnih pića</w:t>
      </w:r>
    </w:p>
    <w:p w14:paraId="3CAD49E5" w14:textId="2ADDFD08" w:rsidR="00DA1C43" w:rsidRPr="00293455" w:rsidRDefault="00DA1C43" w:rsidP="009A7ABE">
      <w:pPr>
        <w:pStyle w:val="ListParagraph"/>
        <w:numPr>
          <w:ilvl w:val="2"/>
          <w:numId w:val="3"/>
        </w:numPr>
        <w:spacing w:after="0"/>
        <w:ind w:right="4"/>
        <w:jc w:val="both"/>
        <w:rPr>
          <w:lang w:val="sr-Latn-RS"/>
        </w:rPr>
      </w:pPr>
      <w:r w:rsidRPr="00293455">
        <w:rPr>
          <w:lang w:val="sr-Latn-RS"/>
        </w:rPr>
        <w:t>proizvođače</w:t>
      </w:r>
      <w:r w:rsidR="00B47233" w:rsidRPr="00293455">
        <w:rPr>
          <w:lang w:val="sr-Latn-RS"/>
        </w:rPr>
        <w:t xml:space="preserve"> </w:t>
      </w:r>
      <w:r w:rsidRPr="00293455">
        <w:rPr>
          <w:lang w:val="sr-Latn-RS"/>
        </w:rPr>
        <w:t>oružja i vojne opreme</w:t>
      </w:r>
    </w:p>
    <w:p w14:paraId="5EF8A025" w14:textId="2140D574" w:rsidR="00DA1C43" w:rsidRPr="00293455" w:rsidRDefault="00DA1C43" w:rsidP="009A7ABE">
      <w:pPr>
        <w:pStyle w:val="ListParagraph"/>
        <w:numPr>
          <w:ilvl w:val="2"/>
          <w:numId w:val="3"/>
        </w:numPr>
        <w:spacing w:after="0"/>
        <w:ind w:right="4"/>
        <w:jc w:val="both"/>
        <w:rPr>
          <w:lang w:val="sr-Latn-RS"/>
        </w:rPr>
      </w:pPr>
      <w:r w:rsidRPr="00293455">
        <w:rPr>
          <w:lang w:val="sr-Latn-RS"/>
        </w:rPr>
        <w:t>proizvodnju i trgovinu naftom i naftnim proizvodima</w:t>
      </w:r>
    </w:p>
    <w:p w14:paraId="03249000" w14:textId="77777777" w:rsidR="00DA1C43" w:rsidRPr="00293455" w:rsidRDefault="00DA1C43" w:rsidP="009A7ABE">
      <w:pPr>
        <w:pStyle w:val="ListParagraph"/>
        <w:numPr>
          <w:ilvl w:val="2"/>
          <w:numId w:val="3"/>
        </w:numPr>
        <w:spacing w:after="0"/>
        <w:ind w:right="4"/>
        <w:jc w:val="both"/>
        <w:rPr>
          <w:lang w:val="sr-Latn-RS"/>
        </w:rPr>
      </w:pPr>
      <w:r w:rsidRPr="00293455">
        <w:rPr>
          <w:lang w:val="sr-Latn-RS"/>
        </w:rPr>
        <w:t>organizaciju igara na sreću, lutrije i sličnih aktivnosti</w:t>
      </w:r>
    </w:p>
    <w:p w14:paraId="2CB4FA56" w14:textId="7CF35BF9" w:rsidR="00DA1C43" w:rsidRPr="00293455" w:rsidRDefault="00DA1C43" w:rsidP="009A7ABE">
      <w:pPr>
        <w:pStyle w:val="ListParagraph"/>
        <w:numPr>
          <w:ilvl w:val="2"/>
          <w:numId w:val="3"/>
        </w:numPr>
        <w:spacing w:after="0"/>
        <w:ind w:right="4"/>
        <w:jc w:val="both"/>
        <w:rPr>
          <w:lang w:val="sr-Latn-RS"/>
        </w:rPr>
      </w:pPr>
      <w:r w:rsidRPr="00293455">
        <w:rPr>
          <w:lang w:val="sr-Latn-RS"/>
        </w:rPr>
        <w:t>proizvođače/</w:t>
      </w:r>
      <w:r w:rsidR="006C4B7E" w:rsidRPr="00293455">
        <w:rPr>
          <w:lang w:val="sr-Latn-RS"/>
        </w:rPr>
        <w:t xml:space="preserve"> distributere</w:t>
      </w:r>
      <w:r w:rsidRPr="00293455">
        <w:rPr>
          <w:lang w:val="sr-Latn-RS"/>
        </w:rPr>
        <w:t xml:space="preserve"> svih ostalih supstanci/materijala/proizvoda kontrolisanih zakonom</w:t>
      </w:r>
    </w:p>
    <w:p w14:paraId="35F480C6" w14:textId="77777777" w:rsidR="00DA1C43" w:rsidRPr="00293455" w:rsidRDefault="00DA1C43" w:rsidP="009A7ABE">
      <w:pPr>
        <w:pStyle w:val="ListParagraph"/>
        <w:numPr>
          <w:ilvl w:val="1"/>
          <w:numId w:val="3"/>
        </w:numPr>
        <w:spacing w:after="0"/>
        <w:ind w:right="4"/>
        <w:jc w:val="both"/>
        <w:rPr>
          <w:lang w:val="sr-Latn-RS"/>
        </w:rPr>
      </w:pPr>
      <w:r w:rsidRPr="00293455">
        <w:rPr>
          <w:lang w:val="sr-Latn-RS"/>
        </w:rPr>
        <w:t>Obavljanje građevinskih radova (međutim, dozvoljena je proizvodnja građevinskog materijala)</w:t>
      </w:r>
    </w:p>
    <w:p w14:paraId="7FFCFA00" w14:textId="77777777" w:rsidR="00DA1C43" w:rsidRPr="00293455" w:rsidRDefault="00DA1C43" w:rsidP="009A7ABE">
      <w:pPr>
        <w:pStyle w:val="ListParagraph"/>
        <w:numPr>
          <w:ilvl w:val="1"/>
          <w:numId w:val="3"/>
        </w:numPr>
        <w:spacing w:after="0"/>
        <w:ind w:right="4"/>
        <w:jc w:val="both"/>
        <w:rPr>
          <w:lang w:val="sr-Latn-RS"/>
        </w:rPr>
      </w:pPr>
      <w:r w:rsidRPr="00293455">
        <w:rPr>
          <w:lang w:val="sr-Latn-RS"/>
        </w:rPr>
        <w:lastRenderedPageBreak/>
        <w:t>Saobraćaj i transport</w:t>
      </w:r>
    </w:p>
    <w:p w14:paraId="270FDC8B" w14:textId="2527F36D" w:rsidR="00DA1C43" w:rsidRPr="00293455" w:rsidRDefault="00DA1C43" w:rsidP="009A7ABE">
      <w:pPr>
        <w:pStyle w:val="ListParagraph"/>
        <w:numPr>
          <w:ilvl w:val="1"/>
          <w:numId w:val="3"/>
        </w:numPr>
        <w:spacing w:after="0"/>
        <w:ind w:right="4"/>
        <w:jc w:val="both"/>
        <w:rPr>
          <w:lang w:val="sr-Latn-RS"/>
        </w:rPr>
      </w:pPr>
      <w:r w:rsidRPr="00293455">
        <w:rPr>
          <w:lang w:val="sr-Latn-RS"/>
        </w:rPr>
        <w:t>Svaki oblik trgovine, turizma ili ugostiteljstva, osim hotela i malih smeštajnih</w:t>
      </w:r>
      <w:r w:rsidR="00B47233" w:rsidRPr="00293455">
        <w:rPr>
          <w:lang w:val="sr-Latn-RS"/>
        </w:rPr>
        <w:t xml:space="preserve"> </w:t>
      </w:r>
      <w:r w:rsidRPr="00293455">
        <w:rPr>
          <w:lang w:val="sr-Latn-RS"/>
        </w:rPr>
        <w:t>objekata</w:t>
      </w:r>
      <w:r w:rsidRPr="00293455">
        <w:rPr>
          <w:rStyle w:val="FootnoteReference"/>
          <w:vertAlign w:val="superscript"/>
          <w:lang w:val="sr-Latn-RS"/>
        </w:rPr>
        <w:footnoteReference w:id="19"/>
      </w:r>
    </w:p>
    <w:p w14:paraId="268C94CB" w14:textId="4F4989CC" w:rsidR="00DA1C43" w:rsidRPr="00293455" w:rsidRDefault="00DA1C43" w:rsidP="000A2F06">
      <w:pPr>
        <w:pStyle w:val="ListParagraph"/>
        <w:numPr>
          <w:ilvl w:val="1"/>
          <w:numId w:val="3"/>
        </w:numPr>
        <w:spacing w:after="0"/>
        <w:ind w:right="4"/>
        <w:jc w:val="both"/>
        <w:rPr>
          <w:lang w:val="sr-Latn-RS"/>
        </w:rPr>
      </w:pPr>
      <w:r w:rsidRPr="00293455">
        <w:rPr>
          <w:lang w:val="sr-Latn-RS"/>
        </w:rPr>
        <w:t xml:space="preserve">Štampanje i umnožavanje audio </w:t>
      </w:r>
      <w:r w:rsidR="00B47233" w:rsidRPr="00293455">
        <w:rPr>
          <w:lang w:val="sr-Latn-RS"/>
        </w:rPr>
        <w:t>i</w:t>
      </w:r>
      <w:r w:rsidRPr="00293455">
        <w:rPr>
          <w:lang w:val="sr-Latn-RS"/>
        </w:rPr>
        <w:t xml:space="preserve"> video snimaka, uključujući štamparske usluge</w:t>
      </w:r>
    </w:p>
    <w:p w14:paraId="7A34F07B" w14:textId="77777777" w:rsidR="00DA1C43" w:rsidRPr="00293455" w:rsidRDefault="00DA1C43" w:rsidP="009A7ABE">
      <w:pPr>
        <w:pStyle w:val="ListParagraph"/>
        <w:numPr>
          <w:ilvl w:val="1"/>
          <w:numId w:val="3"/>
        </w:numPr>
        <w:spacing w:after="0"/>
        <w:ind w:right="4"/>
        <w:jc w:val="both"/>
        <w:rPr>
          <w:lang w:val="sr-Latn-RS"/>
        </w:rPr>
      </w:pPr>
      <w:r w:rsidRPr="00293455">
        <w:rPr>
          <w:lang w:val="sr-Latn-RS"/>
        </w:rPr>
        <w:t>Proizvodnja čelika i sintetičkih vlakana i eksploatacija uglja</w:t>
      </w:r>
    </w:p>
    <w:p w14:paraId="5BFA9C7D" w14:textId="1FD099A9" w:rsidR="00DA1C43" w:rsidRPr="00293455" w:rsidRDefault="006C4B7E" w:rsidP="005D1B66">
      <w:pPr>
        <w:pStyle w:val="ListParagraph"/>
        <w:numPr>
          <w:ilvl w:val="1"/>
          <w:numId w:val="3"/>
        </w:numPr>
        <w:spacing w:after="0"/>
        <w:ind w:right="4"/>
        <w:jc w:val="both"/>
        <w:rPr>
          <w:lang w:val="sr-Latn-RS"/>
        </w:rPr>
      </w:pPr>
      <w:r w:rsidRPr="00293455">
        <w:rPr>
          <w:lang w:val="sr-Latn-RS"/>
        </w:rPr>
        <w:t>savetodavne usluge</w:t>
      </w:r>
      <w:r w:rsidR="00DA1C43" w:rsidRPr="00293455">
        <w:rPr>
          <w:lang w:val="sr-Latn-RS"/>
        </w:rPr>
        <w:t xml:space="preserve">, </w:t>
      </w:r>
      <w:r w:rsidRPr="00293455">
        <w:rPr>
          <w:lang w:val="sr-Latn-RS"/>
        </w:rPr>
        <w:t>usluge računovodstva</w:t>
      </w:r>
      <w:r w:rsidR="00DA1C43" w:rsidRPr="00293455">
        <w:rPr>
          <w:lang w:val="sr-Latn-RS"/>
        </w:rPr>
        <w:t xml:space="preserve">, marketing </w:t>
      </w:r>
      <w:r w:rsidR="00B47233" w:rsidRPr="00293455">
        <w:rPr>
          <w:lang w:val="sr-Latn-RS"/>
        </w:rPr>
        <w:t>i</w:t>
      </w:r>
      <w:r w:rsidR="00DA1C43" w:rsidRPr="00293455">
        <w:rPr>
          <w:lang w:val="sr-Latn-RS"/>
        </w:rPr>
        <w:t xml:space="preserve"> usluge istraživanja tržišta</w:t>
      </w:r>
    </w:p>
    <w:p w14:paraId="3852405A" w14:textId="77777777" w:rsidR="00DA1C43" w:rsidRPr="00293455" w:rsidRDefault="00DA1C43" w:rsidP="00A817DD">
      <w:pPr>
        <w:spacing w:after="0"/>
        <w:ind w:right="4"/>
        <w:jc w:val="both"/>
        <w:rPr>
          <w:lang w:val="sr-Latn-RS"/>
        </w:rPr>
      </w:pPr>
    </w:p>
    <w:p w14:paraId="467B8779" w14:textId="77777777" w:rsidR="00DA1C43" w:rsidRPr="00293455" w:rsidRDefault="00DA1C43" w:rsidP="00A817DD">
      <w:pPr>
        <w:pStyle w:val="Heading3"/>
        <w:rPr>
          <w:lang w:val="sr-Latn-RS"/>
        </w:rPr>
      </w:pPr>
      <w:r w:rsidRPr="00293455">
        <w:rPr>
          <w:lang w:val="sr-Latn-RS"/>
        </w:rPr>
        <w:t>Vlasništvo</w:t>
      </w:r>
    </w:p>
    <w:p w14:paraId="0C091170" w14:textId="77777777" w:rsidR="00DA1C43" w:rsidRPr="00293455" w:rsidRDefault="00DA1C43" w:rsidP="005553B0">
      <w:pPr>
        <w:pStyle w:val="ListParagraph"/>
        <w:numPr>
          <w:ilvl w:val="0"/>
          <w:numId w:val="5"/>
        </w:numPr>
        <w:rPr>
          <w:lang w:val="sr-Latn-RS"/>
        </w:rPr>
      </w:pPr>
      <w:r w:rsidRPr="00293455">
        <w:rPr>
          <w:lang w:val="sr-Latn-RS"/>
        </w:rPr>
        <w:t>Preduzeće je u većinskom domaćem vlasništvu</w:t>
      </w:r>
      <w:r w:rsidRPr="00293455">
        <w:rPr>
          <w:rStyle w:val="FootnoteReference"/>
          <w:vertAlign w:val="superscript"/>
          <w:lang w:val="sr-Latn-RS"/>
        </w:rPr>
        <w:footnoteReference w:id="20"/>
      </w:r>
    </w:p>
    <w:p w14:paraId="52EEBF6B" w14:textId="77777777" w:rsidR="00DA1C43" w:rsidRPr="00293455" w:rsidRDefault="00DA1C43" w:rsidP="00902174">
      <w:pPr>
        <w:pStyle w:val="ListParagraph"/>
        <w:numPr>
          <w:ilvl w:val="0"/>
          <w:numId w:val="5"/>
        </w:numPr>
        <w:rPr>
          <w:lang w:val="sr-Latn-RS"/>
        </w:rPr>
      </w:pPr>
      <w:r w:rsidRPr="00293455">
        <w:rPr>
          <w:lang w:val="sr-Latn-RS"/>
        </w:rPr>
        <w:t>Preduzeće je u većinskom privatnom vlasništvu</w:t>
      </w:r>
    </w:p>
    <w:p w14:paraId="2C323B85" w14:textId="77777777" w:rsidR="00DA1C43" w:rsidRPr="00293455" w:rsidRDefault="00DA1C43" w:rsidP="00124E64">
      <w:pPr>
        <w:pStyle w:val="Heading3"/>
        <w:rPr>
          <w:lang w:val="sr-Latn-RS"/>
        </w:rPr>
      </w:pPr>
      <w:r w:rsidRPr="00293455">
        <w:rPr>
          <w:lang w:val="sr-Latn-RS"/>
        </w:rPr>
        <w:t>Broj zaposlenih:</w:t>
      </w:r>
    </w:p>
    <w:p w14:paraId="1E223A61" w14:textId="21D3CE54" w:rsidR="00DA1C43" w:rsidRPr="00293455" w:rsidRDefault="00DA1C43" w:rsidP="00124E64">
      <w:pPr>
        <w:pStyle w:val="ListParagraph"/>
        <w:numPr>
          <w:ilvl w:val="0"/>
          <w:numId w:val="34"/>
        </w:numPr>
        <w:rPr>
          <w:lang w:val="sr-Latn-RS"/>
        </w:rPr>
      </w:pPr>
      <w:r w:rsidRPr="00293455">
        <w:rPr>
          <w:lang w:val="sr-Latn-RS"/>
        </w:rPr>
        <w:t xml:space="preserve">Najmanje 1 zaposleni (na kraju 2017), uključujući </w:t>
      </w:r>
      <w:r w:rsidR="006C4B7E" w:rsidRPr="00293455">
        <w:rPr>
          <w:lang w:val="sr-Latn-RS"/>
        </w:rPr>
        <w:t>vlasnika</w:t>
      </w:r>
    </w:p>
    <w:p w14:paraId="222665A5" w14:textId="77777777" w:rsidR="00DA1C43" w:rsidRPr="00293455" w:rsidRDefault="00DA1C43" w:rsidP="00BD6828">
      <w:pPr>
        <w:pStyle w:val="Heading3"/>
        <w:rPr>
          <w:lang w:val="sr-Latn-RS"/>
        </w:rPr>
      </w:pPr>
      <w:r w:rsidRPr="00293455">
        <w:rPr>
          <w:lang w:val="sr-Latn-RS"/>
        </w:rPr>
        <w:t>Finansije</w:t>
      </w:r>
    </w:p>
    <w:p w14:paraId="36162C94" w14:textId="3FD23098" w:rsidR="00DA1C43" w:rsidRPr="00293455" w:rsidRDefault="00DA1C43" w:rsidP="009A7ABE">
      <w:pPr>
        <w:pStyle w:val="ListParagraph"/>
        <w:numPr>
          <w:ilvl w:val="0"/>
          <w:numId w:val="6"/>
        </w:numPr>
        <w:jc w:val="both"/>
        <w:rPr>
          <w:lang w:val="sr-Latn-RS"/>
        </w:rPr>
      </w:pPr>
      <w:r w:rsidRPr="00293455">
        <w:rPr>
          <w:lang w:val="sr-Latn-RS"/>
        </w:rPr>
        <w:t>Preduzeće</w:t>
      </w:r>
      <w:r w:rsidR="00B47233" w:rsidRPr="00293455">
        <w:rPr>
          <w:lang w:val="sr-Latn-RS"/>
        </w:rPr>
        <w:t xml:space="preserve"> </w:t>
      </w:r>
      <w:r w:rsidRPr="00293455">
        <w:rPr>
          <w:lang w:val="sr-Latn-RS"/>
        </w:rPr>
        <w:t xml:space="preserve">ima neto profit na kraju 2017. </w:t>
      </w:r>
      <w:r w:rsidRPr="00293455">
        <w:rPr>
          <w:rStyle w:val="FootnoteReference"/>
          <w:vertAlign w:val="superscript"/>
          <w:lang w:val="sr-Latn-RS"/>
        </w:rPr>
        <w:footnoteReference w:id="21"/>
      </w:r>
    </w:p>
    <w:p w14:paraId="0BB9081B" w14:textId="74734112" w:rsidR="00DA1C43" w:rsidRPr="00293455" w:rsidRDefault="00DA1C43" w:rsidP="00124E64">
      <w:pPr>
        <w:pStyle w:val="ListParagraph"/>
        <w:numPr>
          <w:ilvl w:val="0"/>
          <w:numId w:val="6"/>
        </w:numPr>
        <w:jc w:val="both"/>
        <w:rPr>
          <w:lang w:val="sr-Latn-RS"/>
        </w:rPr>
      </w:pPr>
      <w:r w:rsidRPr="00293455">
        <w:rPr>
          <w:lang w:val="sr-Latn-RS"/>
        </w:rPr>
        <w:t>Preduzeće</w:t>
      </w:r>
      <w:r w:rsidR="00B47233" w:rsidRPr="00293455">
        <w:rPr>
          <w:lang w:val="sr-Latn-RS"/>
        </w:rPr>
        <w:t xml:space="preserve"> </w:t>
      </w:r>
      <w:r w:rsidRPr="00293455">
        <w:rPr>
          <w:lang w:val="sr-Latn-RS"/>
        </w:rPr>
        <w:t>nema negativni kapital</w:t>
      </w:r>
    </w:p>
    <w:p w14:paraId="54789B38" w14:textId="04944674" w:rsidR="00DA1C43" w:rsidRPr="00293455" w:rsidRDefault="00DA1C43" w:rsidP="00464A6A">
      <w:pPr>
        <w:pStyle w:val="ListParagraph"/>
        <w:numPr>
          <w:ilvl w:val="0"/>
          <w:numId w:val="6"/>
        </w:numPr>
        <w:jc w:val="both"/>
        <w:rPr>
          <w:lang w:val="sr-Latn-RS"/>
        </w:rPr>
      </w:pPr>
      <w:r w:rsidRPr="00293455">
        <w:rPr>
          <w:lang w:val="sr-Latn-RS"/>
        </w:rPr>
        <w:t>Preduzeće</w:t>
      </w:r>
      <w:r w:rsidR="00B47233" w:rsidRPr="00293455">
        <w:rPr>
          <w:lang w:val="sr-Latn-RS"/>
        </w:rPr>
        <w:t xml:space="preserve"> </w:t>
      </w:r>
      <w:r w:rsidRPr="00293455">
        <w:rPr>
          <w:lang w:val="sr-Latn-RS"/>
        </w:rPr>
        <w:t>nije u stečajnom ili likvidacionom postupku</w:t>
      </w:r>
    </w:p>
    <w:p w14:paraId="31E7A204" w14:textId="475F8DCE" w:rsidR="00DA1C43" w:rsidRPr="00293455" w:rsidRDefault="00DA1C43" w:rsidP="00464A6A">
      <w:pPr>
        <w:pStyle w:val="ListParagraph"/>
        <w:numPr>
          <w:ilvl w:val="0"/>
          <w:numId w:val="6"/>
        </w:numPr>
        <w:jc w:val="both"/>
        <w:rPr>
          <w:lang w:val="sr-Latn-RS"/>
        </w:rPr>
      </w:pPr>
      <w:r w:rsidRPr="00293455">
        <w:rPr>
          <w:lang w:val="sr-Latn-RS"/>
        </w:rPr>
        <w:t>Preduzeće</w:t>
      </w:r>
      <w:r w:rsidR="00B47233" w:rsidRPr="00293455">
        <w:rPr>
          <w:lang w:val="sr-Latn-RS"/>
        </w:rPr>
        <w:t xml:space="preserve"> </w:t>
      </w:r>
      <w:r w:rsidRPr="00293455">
        <w:rPr>
          <w:lang w:val="sr-Latn-RS"/>
        </w:rPr>
        <w:t>redovno isplaćuje svoje obaveze zaposlenima i nema nepokrivena dugovanja za socijalne doprinose</w:t>
      </w:r>
    </w:p>
    <w:p w14:paraId="1E3F31CC" w14:textId="37D0047C" w:rsidR="00DA1C43" w:rsidRPr="00293455" w:rsidRDefault="00DA1C43" w:rsidP="00464A6A">
      <w:pPr>
        <w:pStyle w:val="ListParagraph"/>
        <w:numPr>
          <w:ilvl w:val="0"/>
          <w:numId w:val="6"/>
        </w:numPr>
        <w:jc w:val="both"/>
        <w:rPr>
          <w:lang w:val="sr-Latn-RS"/>
        </w:rPr>
      </w:pPr>
      <w:r w:rsidRPr="00293455">
        <w:rPr>
          <w:lang w:val="sr-Latn-RS"/>
        </w:rPr>
        <w:t>Preduzeće</w:t>
      </w:r>
      <w:r w:rsidR="00B47233" w:rsidRPr="00293455">
        <w:rPr>
          <w:lang w:val="sr-Latn-RS"/>
        </w:rPr>
        <w:t xml:space="preserve"> </w:t>
      </w:r>
      <w:r w:rsidRPr="00293455">
        <w:rPr>
          <w:lang w:val="sr-Latn-RS"/>
        </w:rPr>
        <w:t>redovno plaća dospele poreze kako lokalnim, tako i nacionalnim poreskim upravama</w:t>
      </w:r>
      <w:r w:rsidRPr="00293455">
        <w:rPr>
          <w:rStyle w:val="FootnoteReference"/>
          <w:vertAlign w:val="superscript"/>
          <w:lang w:val="sr-Latn-RS"/>
        </w:rPr>
        <w:footnoteReference w:id="22"/>
      </w:r>
    </w:p>
    <w:p w14:paraId="79661761" w14:textId="7D9F1626" w:rsidR="00DA1C43" w:rsidRPr="00293455" w:rsidRDefault="00DA1C43" w:rsidP="00464A6A">
      <w:pPr>
        <w:pStyle w:val="ListParagraph"/>
        <w:numPr>
          <w:ilvl w:val="0"/>
          <w:numId w:val="6"/>
        </w:numPr>
        <w:jc w:val="both"/>
        <w:rPr>
          <w:lang w:val="sr-Latn-RS"/>
        </w:rPr>
      </w:pPr>
      <w:r w:rsidRPr="00293455">
        <w:rPr>
          <w:lang w:val="sr-Latn-RS"/>
        </w:rPr>
        <w:t xml:space="preserve">Računi preduzeća u banci nisu bili blokirani zbog nepokrivenih obaveza u periodu dužem od 40 dana tokom 2017. </w:t>
      </w:r>
    </w:p>
    <w:p w14:paraId="5C9BCDE3" w14:textId="77777777" w:rsidR="00DA1C43" w:rsidRPr="00293455" w:rsidRDefault="00DA1C43" w:rsidP="00BD6828">
      <w:pPr>
        <w:pStyle w:val="Heading3"/>
        <w:rPr>
          <w:lang w:val="sr-Latn-RS"/>
        </w:rPr>
      </w:pPr>
      <w:r w:rsidRPr="00293455">
        <w:rPr>
          <w:lang w:val="sr-Latn-RS"/>
        </w:rPr>
        <w:t>Pravna pitanja</w:t>
      </w:r>
    </w:p>
    <w:p w14:paraId="60365BCC" w14:textId="77777777" w:rsidR="00DA1C43" w:rsidRPr="00293455" w:rsidRDefault="00DA1C43" w:rsidP="009A7ABE">
      <w:pPr>
        <w:pStyle w:val="ListParagraph"/>
        <w:numPr>
          <w:ilvl w:val="0"/>
          <w:numId w:val="7"/>
        </w:numPr>
        <w:jc w:val="both"/>
        <w:rPr>
          <w:lang w:val="sr-Latn-RS"/>
        </w:rPr>
      </w:pPr>
      <w:r w:rsidRPr="00293455">
        <w:rPr>
          <w:lang w:val="sr-Latn-RS"/>
        </w:rPr>
        <w:t>Vlasnik/vlasnici i odgovorne osobe pravnog lica nisu krivično osuđivane niti se protiv njih vodi krivična istraga</w:t>
      </w:r>
      <w:r w:rsidRPr="00293455">
        <w:rPr>
          <w:rStyle w:val="FootnoteReference"/>
          <w:vertAlign w:val="superscript"/>
          <w:lang w:val="sr-Latn-RS"/>
        </w:rPr>
        <w:footnoteReference w:id="23"/>
      </w:r>
    </w:p>
    <w:p w14:paraId="206C9540" w14:textId="2B8E9AB0" w:rsidR="00DA1C43" w:rsidRPr="00293455" w:rsidRDefault="008C6E3D" w:rsidP="009A7ABE">
      <w:pPr>
        <w:pStyle w:val="ListParagraph"/>
        <w:numPr>
          <w:ilvl w:val="0"/>
          <w:numId w:val="7"/>
        </w:numPr>
        <w:jc w:val="both"/>
        <w:rPr>
          <w:lang w:val="sr-Latn-RS"/>
        </w:rPr>
      </w:pPr>
      <w:r w:rsidRPr="00293455">
        <w:rPr>
          <w:lang w:val="sr-Latn-RS"/>
        </w:rPr>
        <w:t>Preduzeću nije izrečena</w:t>
      </w:r>
      <w:r w:rsidR="00DA1C43" w:rsidRPr="00293455">
        <w:rPr>
          <w:lang w:val="sr-Latn-RS"/>
        </w:rPr>
        <w:t xml:space="preserve"> zabrana obavljanja aktivnosti u periodu od dve godine pre podnošenja prijave</w:t>
      </w:r>
      <w:r w:rsidR="00DA1C43" w:rsidRPr="00293455">
        <w:rPr>
          <w:rStyle w:val="FootnoteReference"/>
          <w:vertAlign w:val="superscript"/>
          <w:lang w:val="sr-Latn-RS"/>
        </w:rPr>
        <w:footnoteReference w:id="24"/>
      </w:r>
    </w:p>
    <w:p w14:paraId="00A6808F" w14:textId="77777777" w:rsidR="00DA1C43" w:rsidRPr="00293455" w:rsidRDefault="00DA1C43" w:rsidP="000A0C80">
      <w:pPr>
        <w:pStyle w:val="ListParagraph"/>
        <w:numPr>
          <w:ilvl w:val="0"/>
          <w:numId w:val="7"/>
        </w:numPr>
        <w:jc w:val="both"/>
        <w:rPr>
          <w:lang w:val="sr-Latn-RS"/>
        </w:rPr>
      </w:pPr>
      <w:r w:rsidRPr="00293455">
        <w:rPr>
          <w:lang w:val="sr-Latn-RS"/>
        </w:rPr>
        <w:lastRenderedPageBreak/>
        <w:t>Preduzeće ne koristi olakšice po istom osnovu</w:t>
      </w:r>
      <w:r w:rsidRPr="00293455">
        <w:rPr>
          <w:rStyle w:val="FootnoteReference"/>
          <w:vertAlign w:val="superscript"/>
          <w:lang w:val="sr-Latn-RS"/>
        </w:rPr>
        <w:footnoteReference w:id="25"/>
      </w:r>
      <w:r w:rsidRPr="00293455">
        <w:rPr>
          <w:lang w:val="sr-Latn-RS"/>
        </w:rPr>
        <w:t>od drugih ustanova ili donatora tokom perioda obavljanja aktivnosti</w:t>
      </w:r>
      <w:r w:rsidRPr="00293455">
        <w:rPr>
          <w:rStyle w:val="FootnoteReference"/>
          <w:vertAlign w:val="superscript"/>
          <w:lang w:val="sr-Latn-RS"/>
        </w:rPr>
        <w:footnoteReference w:id="26"/>
      </w:r>
    </w:p>
    <w:p w14:paraId="0E9EAC4B" w14:textId="28C4AB9D" w:rsidR="00DA1C43" w:rsidRPr="00293455" w:rsidRDefault="00DA1C43" w:rsidP="000A0C80">
      <w:pPr>
        <w:pStyle w:val="ListParagraph"/>
        <w:numPr>
          <w:ilvl w:val="0"/>
          <w:numId w:val="7"/>
        </w:numPr>
        <w:jc w:val="both"/>
        <w:rPr>
          <w:lang w:val="sr-Latn-RS"/>
        </w:rPr>
      </w:pPr>
      <w:r w:rsidRPr="00293455">
        <w:rPr>
          <w:lang w:val="sr-Latn-RS"/>
        </w:rPr>
        <w:t>Preduzeće</w:t>
      </w:r>
      <w:r w:rsidR="008C4BCC" w:rsidRPr="00293455">
        <w:rPr>
          <w:lang w:val="sr-Latn-RS"/>
        </w:rPr>
        <w:t xml:space="preserve"> </w:t>
      </w:r>
      <w:r w:rsidRPr="00293455">
        <w:rPr>
          <w:lang w:val="sr-Latn-RS"/>
        </w:rPr>
        <w:t>poseduje poslovne prostorije ili ima važeći dugoročan ugovor o zakupu</w:t>
      </w:r>
    </w:p>
    <w:p w14:paraId="78447184" w14:textId="1BF87DDB" w:rsidR="00DA1C43" w:rsidRPr="00293455" w:rsidRDefault="00DA1C43" w:rsidP="000A0C80">
      <w:pPr>
        <w:pStyle w:val="ListParagraph"/>
        <w:numPr>
          <w:ilvl w:val="0"/>
          <w:numId w:val="7"/>
        </w:numPr>
        <w:jc w:val="both"/>
        <w:rPr>
          <w:lang w:val="sr-Latn-RS"/>
        </w:rPr>
      </w:pPr>
      <w:r w:rsidRPr="00293455">
        <w:rPr>
          <w:lang w:val="sr-Latn-RS"/>
        </w:rPr>
        <w:t>Preduzeće</w:t>
      </w:r>
      <w:r w:rsidR="008C4BCC" w:rsidRPr="00293455">
        <w:rPr>
          <w:lang w:val="sr-Latn-RS"/>
        </w:rPr>
        <w:t xml:space="preserve"> </w:t>
      </w:r>
      <w:r w:rsidRPr="00293455">
        <w:rPr>
          <w:lang w:val="sr-Latn-RS"/>
        </w:rPr>
        <w:t>ne proizvodi ništa što krši zakone o autorskim pravima, zaštitnim znacima ili intelektualnoj svojini</w:t>
      </w:r>
      <w:r w:rsidRPr="00293455">
        <w:rPr>
          <w:rStyle w:val="FootnoteReference"/>
          <w:vertAlign w:val="superscript"/>
          <w:lang w:val="sr-Latn-RS"/>
        </w:rPr>
        <w:footnoteReference w:id="27"/>
      </w:r>
    </w:p>
    <w:p w14:paraId="74C3CA1A" w14:textId="77777777" w:rsidR="00DA1C43" w:rsidRPr="00293455" w:rsidRDefault="00DA1C43" w:rsidP="00312E0B">
      <w:pPr>
        <w:pStyle w:val="Heading3"/>
        <w:rPr>
          <w:lang w:val="sr-Latn-RS"/>
        </w:rPr>
      </w:pPr>
      <w:r w:rsidRPr="00293455">
        <w:rPr>
          <w:lang w:val="sr-Latn-RS"/>
        </w:rPr>
        <w:t>Ostalo</w:t>
      </w:r>
    </w:p>
    <w:p w14:paraId="162D3452" w14:textId="77777777" w:rsidR="00DA1C43" w:rsidRPr="00293455" w:rsidRDefault="00DA1C43" w:rsidP="00312E0B">
      <w:pPr>
        <w:pStyle w:val="ListParagraph"/>
        <w:numPr>
          <w:ilvl w:val="0"/>
          <w:numId w:val="35"/>
        </w:numPr>
        <w:jc w:val="both"/>
        <w:rPr>
          <w:lang w:val="sr-Latn-RS"/>
        </w:rPr>
      </w:pPr>
      <w:r w:rsidRPr="00293455">
        <w:rPr>
          <w:lang w:val="sr-Latn-RS"/>
        </w:rPr>
        <w:t>Svrha obezbeđivanja opreme je u skladu sa sadašnjom poslovnom aktivnošću</w:t>
      </w:r>
    </w:p>
    <w:p w14:paraId="5F3CDE6A" w14:textId="5A070DC3" w:rsidR="00DA1C43" w:rsidRPr="00293455" w:rsidRDefault="00DA1C43" w:rsidP="00411AE9">
      <w:pPr>
        <w:pStyle w:val="Heading3"/>
        <w:rPr>
          <w:lang w:val="sr-Latn-RS"/>
        </w:rPr>
      </w:pPr>
      <w:r w:rsidRPr="00293455">
        <w:rPr>
          <w:lang w:val="sr-Latn-RS"/>
        </w:rPr>
        <w:t>Za kandidate</w:t>
      </w:r>
      <w:r w:rsidR="00386591">
        <w:rPr>
          <w:lang w:val="sr-Latn-RS"/>
        </w:rPr>
        <w:t xml:space="preserve"> Partije 2</w:t>
      </w:r>
      <w:r w:rsidRPr="00293455">
        <w:rPr>
          <w:lang w:val="sr-Latn-RS"/>
        </w:rPr>
        <w:t xml:space="preserve"> </w:t>
      </w:r>
      <w:r w:rsidR="00386591">
        <w:rPr>
          <w:lang w:val="sr-Latn-RS"/>
        </w:rPr>
        <w:t>(</w:t>
      </w:r>
      <w:r w:rsidRPr="00293455">
        <w:rPr>
          <w:lang w:val="sr-Latn-RS"/>
        </w:rPr>
        <w:t>LOT2</w:t>
      </w:r>
      <w:r w:rsidR="00386591">
        <w:rPr>
          <w:lang w:val="sr-Latn-RS"/>
        </w:rPr>
        <w:t>) koji zadovoljavaju kriterijume brzorastućeg razvoja i izvozne orijentacije,</w:t>
      </w:r>
      <w:r w:rsidRPr="00293455">
        <w:rPr>
          <w:lang w:val="sr-Latn-RS"/>
        </w:rPr>
        <w:t xml:space="preserve"> koji se prijavljuju za sredstva veća od</w:t>
      </w:r>
      <w:r w:rsidRPr="00293455">
        <w:rPr>
          <w:rFonts w:ascii="Calibri Light CE" w:hAnsi="Calibri Light CE"/>
          <w:lang w:val="sr-Latn-RS"/>
        </w:rPr>
        <w:t xml:space="preserve"> </w:t>
      </w:r>
      <w:r w:rsidRPr="00293455">
        <w:rPr>
          <w:lang w:val="sr-Latn-RS"/>
        </w:rPr>
        <w:t>30.000 evra</w:t>
      </w:r>
    </w:p>
    <w:p w14:paraId="3D2D844A" w14:textId="5B21B553" w:rsidR="00DA1C43" w:rsidRDefault="00DA1C43" w:rsidP="00411AE9">
      <w:pPr>
        <w:pStyle w:val="ListParagraph"/>
        <w:numPr>
          <w:ilvl w:val="0"/>
          <w:numId w:val="35"/>
        </w:numPr>
        <w:rPr>
          <w:lang w:val="sr-Latn-RS"/>
        </w:rPr>
      </w:pPr>
      <w:r w:rsidRPr="00293455">
        <w:rPr>
          <w:lang w:val="sr-Latn-RS"/>
        </w:rPr>
        <w:t>Preduzeće</w:t>
      </w:r>
      <w:r w:rsidR="008C4BCC" w:rsidRPr="00293455">
        <w:rPr>
          <w:lang w:val="sr-Latn-RS"/>
        </w:rPr>
        <w:t xml:space="preserve"> </w:t>
      </w:r>
      <w:r w:rsidRPr="00293455">
        <w:rPr>
          <w:lang w:val="sr-Latn-RS"/>
        </w:rPr>
        <w:t>je izvozilo svoje proizvode tokom 2017.</w:t>
      </w:r>
      <w:r w:rsidRPr="00293455">
        <w:rPr>
          <w:rStyle w:val="FootnoteReference"/>
          <w:vertAlign w:val="superscript"/>
          <w:lang w:val="sr-Latn-RS"/>
        </w:rPr>
        <w:footnoteReference w:id="28"/>
      </w:r>
    </w:p>
    <w:p w14:paraId="1638E76C" w14:textId="4663E7CE" w:rsidR="00DA1C43" w:rsidRPr="00294D24" w:rsidRDefault="00294D24" w:rsidP="00294D24">
      <w:pPr>
        <w:pStyle w:val="ListParagraph"/>
        <w:numPr>
          <w:ilvl w:val="0"/>
          <w:numId w:val="35"/>
        </w:numPr>
        <w:rPr>
          <w:lang w:val="sr-Latn-RS"/>
        </w:rPr>
      </w:pPr>
      <w:r>
        <w:rPr>
          <w:lang w:val="sr-Latn-RS"/>
        </w:rPr>
        <w:t>Preduzeće je 2015. godine imalo najmanje pet zaposlednih na određeno ili neodređeno vreme i u periodu od 2015. do 2017. godine je ostvarilo prosečan godišnji rast prihoda od redovne delatnosti/ poslovnih prihoda ili prosečan godišnji rast zaposlenih od minimum 20%</w:t>
      </w:r>
      <w:r w:rsidR="00DA1C43" w:rsidRPr="00293455">
        <w:rPr>
          <w:rStyle w:val="FootnoteReference"/>
          <w:vertAlign w:val="superscript"/>
          <w:lang w:val="sr-Latn-RS"/>
        </w:rPr>
        <w:footnoteReference w:id="29"/>
      </w:r>
    </w:p>
    <w:p w14:paraId="2012DA3A" w14:textId="77777777" w:rsidR="00DA1C43" w:rsidRPr="00293455" w:rsidRDefault="00DA1C43" w:rsidP="002125BA">
      <w:pPr>
        <w:spacing w:after="0" w:line="240" w:lineRule="auto"/>
        <w:jc w:val="both"/>
        <w:rPr>
          <w:lang w:val="sr-Latn-RS"/>
        </w:rPr>
      </w:pPr>
    </w:p>
    <w:p w14:paraId="0E4A9B32" w14:textId="65FC4569" w:rsidR="00DA1C43" w:rsidRPr="00293455" w:rsidRDefault="00AA5314" w:rsidP="001A3964">
      <w:pPr>
        <w:pStyle w:val="Heading3"/>
        <w:numPr>
          <w:ilvl w:val="0"/>
          <w:numId w:val="25"/>
        </w:numPr>
        <w:rPr>
          <w:b/>
          <w:lang w:val="sr-Latn-RS"/>
        </w:rPr>
      </w:pPr>
      <w:r w:rsidRPr="00293455">
        <w:rPr>
          <w:b/>
          <w:lang w:val="sr-Latn-RS"/>
        </w:rPr>
        <w:t>Kriterijumi za evaluaciju</w:t>
      </w:r>
      <w:r w:rsidR="00DA1C43" w:rsidRPr="00293455">
        <w:rPr>
          <w:b/>
          <w:lang w:val="sr-Latn-RS"/>
        </w:rPr>
        <w:t xml:space="preserve"> Koncepata</w:t>
      </w:r>
      <w:r w:rsidR="00C12A82" w:rsidRPr="00293455">
        <w:rPr>
          <w:b/>
          <w:lang w:val="sr-Latn-RS"/>
        </w:rPr>
        <w:t xml:space="preserve"> predloga projekta</w:t>
      </w:r>
    </w:p>
    <w:p w14:paraId="5F308283" w14:textId="075D575D" w:rsidR="00DA1C43" w:rsidRPr="00293455" w:rsidRDefault="00DA1C43" w:rsidP="008F4A3A">
      <w:pPr>
        <w:jc w:val="both"/>
        <w:rPr>
          <w:lang w:val="sr-Latn-RS"/>
        </w:rPr>
      </w:pPr>
      <w:r w:rsidRPr="00293455">
        <w:rPr>
          <w:lang w:val="sr-Latn-RS"/>
        </w:rPr>
        <w:t xml:space="preserve">Koncepti </w:t>
      </w:r>
      <w:r w:rsidR="001679B0" w:rsidRPr="00293455">
        <w:rPr>
          <w:lang w:val="sr-Latn-RS"/>
        </w:rPr>
        <w:t xml:space="preserve">predloga projekata </w:t>
      </w:r>
      <w:r w:rsidRPr="00293455">
        <w:rPr>
          <w:lang w:val="sr-Latn-RS"/>
        </w:rPr>
        <w:t>će b</w:t>
      </w:r>
      <w:r w:rsidR="001679B0" w:rsidRPr="00293455">
        <w:rPr>
          <w:lang w:val="sr-Latn-RS"/>
        </w:rPr>
        <w:t>iti procenjeni u odnosu na sledeće oblasti</w:t>
      </w:r>
      <w:r w:rsidRPr="00293455">
        <w:rPr>
          <w:lang w:val="sr-Latn-RS"/>
        </w:rPr>
        <w:t>:</w:t>
      </w:r>
    </w:p>
    <w:p w14:paraId="630BC204" w14:textId="3DC79BF4" w:rsidR="00DA1C43" w:rsidRPr="00293455" w:rsidRDefault="00DA1C43" w:rsidP="008F4A3A">
      <w:pPr>
        <w:pStyle w:val="ListParagraph"/>
        <w:numPr>
          <w:ilvl w:val="0"/>
          <w:numId w:val="31"/>
        </w:numPr>
        <w:jc w:val="both"/>
        <w:rPr>
          <w:b/>
          <w:lang w:val="sr-Latn-RS"/>
        </w:rPr>
      </w:pPr>
      <w:r w:rsidRPr="00293455">
        <w:rPr>
          <w:b/>
          <w:lang w:val="sr-Latn-RS"/>
        </w:rPr>
        <w:t xml:space="preserve">Relevantnost i održivost poslovne ideje </w:t>
      </w:r>
      <w:r w:rsidRPr="00293455">
        <w:rPr>
          <w:lang w:val="sr-Latn-RS"/>
        </w:rPr>
        <w:t>procena ulaznih podataka u vezi sa predmetom, potencijalno tržište i očekivani uticaj poslovne ideje</w:t>
      </w:r>
      <w:r w:rsidR="008C4BCC" w:rsidRPr="00293455">
        <w:rPr>
          <w:lang w:val="sr-Latn-RS"/>
        </w:rPr>
        <w:t>;</w:t>
      </w:r>
    </w:p>
    <w:p w14:paraId="551EF8E8" w14:textId="2DB6A939" w:rsidR="00DA1C43" w:rsidRPr="00293455" w:rsidRDefault="00DA1C43" w:rsidP="008F4A3A">
      <w:pPr>
        <w:pStyle w:val="ListParagraph"/>
        <w:numPr>
          <w:ilvl w:val="0"/>
          <w:numId w:val="31"/>
        </w:numPr>
        <w:jc w:val="both"/>
        <w:rPr>
          <w:b/>
          <w:lang w:val="sr-Latn-RS"/>
        </w:rPr>
      </w:pPr>
      <w:r w:rsidRPr="00293455">
        <w:rPr>
          <w:b/>
          <w:lang w:val="sr-Latn-RS"/>
        </w:rPr>
        <w:t xml:space="preserve">Kapaciteti za ostvarivanje poslovne ideje </w:t>
      </w:r>
      <w:r w:rsidRPr="00293455">
        <w:rPr>
          <w:lang w:val="sr-Latn-RS"/>
        </w:rPr>
        <w:t>procena ulaznih podataka u vezi sa fizičkim, ljudskim resursima i operativnim, tehničkim i finansijskim kapacitetima kandidata za ostvarivanje poslovne ideje</w:t>
      </w:r>
      <w:r w:rsidR="008C4BCC" w:rsidRPr="00293455">
        <w:rPr>
          <w:lang w:val="sr-Latn-RS"/>
        </w:rPr>
        <w:t>;</w:t>
      </w:r>
      <w:r w:rsidRPr="00293455">
        <w:rPr>
          <w:lang w:val="sr-Latn-RS"/>
        </w:rPr>
        <w:t xml:space="preserve"> </w:t>
      </w:r>
    </w:p>
    <w:p w14:paraId="203FB3E0" w14:textId="77777777" w:rsidR="00DA1C43" w:rsidRPr="00295E9B" w:rsidRDefault="00DA1C43" w:rsidP="008F4A3A">
      <w:pPr>
        <w:pStyle w:val="ListParagraph"/>
        <w:numPr>
          <w:ilvl w:val="0"/>
          <w:numId w:val="31"/>
        </w:numPr>
        <w:jc w:val="both"/>
        <w:rPr>
          <w:b/>
          <w:lang w:val="sr-Latn-RS"/>
        </w:rPr>
      </w:pPr>
      <w:r w:rsidRPr="00293455">
        <w:rPr>
          <w:b/>
          <w:lang w:val="sr-Latn-RS"/>
        </w:rPr>
        <w:t xml:space="preserve">Nacrt i izvodljivost poslovne ideje </w:t>
      </w:r>
      <w:r w:rsidRPr="00293455">
        <w:rPr>
          <w:lang w:val="sr-Latn-RS"/>
        </w:rPr>
        <w:t xml:space="preserve">procena predloženih aktivnosti i vremenskog okvira za njeno ostvarivanje. </w:t>
      </w:r>
    </w:p>
    <w:p w14:paraId="2D9DF385" w14:textId="77777777" w:rsidR="00295E9B" w:rsidRDefault="00295E9B" w:rsidP="008F4A3A">
      <w:pPr>
        <w:jc w:val="both"/>
        <w:rPr>
          <w:lang w:val="sr-Latn-RS"/>
        </w:rPr>
      </w:pPr>
    </w:p>
    <w:p w14:paraId="1F93F562" w14:textId="77777777" w:rsidR="00295E9B" w:rsidRDefault="00295E9B" w:rsidP="008F4A3A">
      <w:pPr>
        <w:jc w:val="both"/>
        <w:rPr>
          <w:lang w:val="sr-Latn-RS"/>
        </w:rPr>
      </w:pPr>
    </w:p>
    <w:p w14:paraId="0A396FB2" w14:textId="77777777" w:rsidR="00295E9B" w:rsidRDefault="00295E9B" w:rsidP="008F4A3A">
      <w:pPr>
        <w:jc w:val="both"/>
        <w:rPr>
          <w:lang w:val="sr-Latn-RS"/>
        </w:rPr>
      </w:pPr>
    </w:p>
    <w:p w14:paraId="46E458D0" w14:textId="77777777" w:rsidR="00DA1C43" w:rsidRPr="00293455" w:rsidRDefault="00DA1C43" w:rsidP="008F4A3A">
      <w:pPr>
        <w:jc w:val="both"/>
        <w:rPr>
          <w:lang w:val="sr-Latn-RS"/>
        </w:rPr>
      </w:pPr>
      <w:r w:rsidRPr="00293455">
        <w:rPr>
          <w:lang w:val="sr-Latn-RS"/>
        </w:rPr>
        <w:lastRenderedPageBreak/>
        <w:t xml:space="preserve">Za evaluaciju Koncepata </w:t>
      </w:r>
      <w:r w:rsidR="001679B0" w:rsidRPr="00293455">
        <w:rPr>
          <w:lang w:val="sr-Latn-RS"/>
        </w:rPr>
        <w:t>predloga projekata koristiće se sledeći e</w:t>
      </w:r>
      <w:r w:rsidRPr="00293455">
        <w:rPr>
          <w:lang w:val="sr-Latn-RS"/>
        </w:rPr>
        <w:t xml:space="preserve">valuacioni </w:t>
      </w:r>
      <w:r w:rsidR="001679B0" w:rsidRPr="00293455">
        <w:rPr>
          <w:lang w:val="sr-Latn-RS"/>
        </w:rPr>
        <w:t>kriterijumi</w:t>
      </w:r>
      <w:r w:rsidRPr="00293455">
        <w:rPr>
          <w:lang w:val="sr-Latn-RS"/>
        </w:rPr>
        <w:t>:</w:t>
      </w: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0A0" w:firstRow="1" w:lastRow="0" w:firstColumn="1" w:lastColumn="0" w:noHBand="0" w:noVBand="0"/>
      </w:tblPr>
      <w:tblGrid>
        <w:gridCol w:w="1705"/>
        <w:gridCol w:w="6210"/>
        <w:gridCol w:w="1373"/>
      </w:tblGrid>
      <w:tr w:rsidR="00DA1C43" w:rsidRPr="00293455" w14:paraId="2E2C7C83" w14:textId="77777777" w:rsidTr="001679B0">
        <w:trPr>
          <w:tblHeader/>
        </w:trPr>
        <w:tc>
          <w:tcPr>
            <w:tcW w:w="1705" w:type="dxa"/>
            <w:tcBorders>
              <w:bottom w:val="single" w:sz="12" w:space="0" w:color="C9C9C9"/>
            </w:tcBorders>
            <w:vAlign w:val="center"/>
          </w:tcPr>
          <w:p w14:paraId="4130057E" w14:textId="0AE95706" w:rsidR="00DA1C43" w:rsidRPr="00293455" w:rsidRDefault="001679B0" w:rsidP="00D25EBB">
            <w:pPr>
              <w:spacing w:after="0" w:line="240" w:lineRule="auto"/>
              <w:jc w:val="center"/>
              <w:rPr>
                <w:b/>
                <w:bCs/>
                <w:lang w:val="sr-Latn-RS"/>
              </w:rPr>
            </w:pPr>
            <w:r w:rsidRPr="00293455">
              <w:rPr>
                <w:b/>
                <w:bCs/>
                <w:lang w:val="sr-Latn-RS"/>
              </w:rPr>
              <w:t>Kriterijum</w:t>
            </w:r>
          </w:p>
        </w:tc>
        <w:tc>
          <w:tcPr>
            <w:tcW w:w="6210" w:type="dxa"/>
            <w:tcBorders>
              <w:bottom w:val="single" w:sz="12" w:space="0" w:color="C9C9C9"/>
            </w:tcBorders>
            <w:vAlign w:val="center"/>
          </w:tcPr>
          <w:p w14:paraId="6A4F9C1F" w14:textId="77777777" w:rsidR="00DA1C43" w:rsidRPr="00293455" w:rsidRDefault="00DA1C43" w:rsidP="00D25EBB">
            <w:pPr>
              <w:spacing w:after="0" w:line="240" w:lineRule="auto"/>
              <w:jc w:val="center"/>
              <w:rPr>
                <w:b/>
                <w:bCs/>
                <w:lang w:val="sr-Latn-RS"/>
              </w:rPr>
            </w:pPr>
            <w:r w:rsidRPr="00293455">
              <w:rPr>
                <w:b/>
                <w:bCs/>
                <w:lang w:val="sr-Latn-RS"/>
              </w:rPr>
              <w:t>Opis kriterijuma</w:t>
            </w:r>
          </w:p>
        </w:tc>
        <w:tc>
          <w:tcPr>
            <w:tcW w:w="1373" w:type="dxa"/>
            <w:tcBorders>
              <w:bottom w:val="single" w:sz="12" w:space="0" w:color="C9C9C9"/>
            </w:tcBorders>
            <w:vAlign w:val="center"/>
          </w:tcPr>
          <w:p w14:paraId="0B2539F1" w14:textId="77777777" w:rsidR="00DA1C43" w:rsidRPr="00293455" w:rsidRDefault="00DA1C43" w:rsidP="00D25EBB">
            <w:pPr>
              <w:spacing w:after="0" w:line="240" w:lineRule="auto"/>
              <w:jc w:val="center"/>
              <w:rPr>
                <w:b/>
                <w:bCs/>
                <w:lang w:val="sr-Latn-RS"/>
              </w:rPr>
            </w:pPr>
            <w:r w:rsidRPr="00293455">
              <w:rPr>
                <w:b/>
                <w:bCs/>
                <w:lang w:val="sr-Latn-RS"/>
              </w:rPr>
              <w:t>Maksimalni broj bodova</w:t>
            </w:r>
          </w:p>
        </w:tc>
      </w:tr>
      <w:tr w:rsidR="00DA1C43" w:rsidRPr="00293455" w14:paraId="5CAFBE5A" w14:textId="77777777" w:rsidTr="001679B0">
        <w:tc>
          <w:tcPr>
            <w:tcW w:w="1705" w:type="dxa"/>
            <w:vMerge w:val="restart"/>
            <w:vAlign w:val="center"/>
          </w:tcPr>
          <w:p w14:paraId="7BB17CA3" w14:textId="77777777" w:rsidR="00DA1C43" w:rsidRPr="00293455" w:rsidRDefault="00DA1C43" w:rsidP="00D25EBB">
            <w:pPr>
              <w:spacing w:after="0" w:line="240" w:lineRule="auto"/>
              <w:rPr>
                <w:b/>
                <w:bCs/>
                <w:lang w:val="sr-Latn-RS"/>
              </w:rPr>
            </w:pPr>
            <w:r w:rsidRPr="00293455">
              <w:rPr>
                <w:b/>
                <w:bCs/>
                <w:lang w:val="sr-Latn-RS"/>
              </w:rPr>
              <w:t>Relevantnost i održivost poslovne ideje (50)</w:t>
            </w:r>
          </w:p>
        </w:tc>
        <w:tc>
          <w:tcPr>
            <w:tcW w:w="6210" w:type="dxa"/>
            <w:vAlign w:val="center"/>
          </w:tcPr>
          <w:p w14:paraId="63076B41" w14:textId="77777777" w:rsidR="00DA1C43" w:rsidRPr="00293455" w:rsidRDefault="00DA1C43" w:rsidP="00D25EBB">
            <w:pPr>
              <w:spacing w:after="0" w:line="240" w:lineRule="auto"/>
              <w:rPr>
                <w:i/>
                <w:lang w:val="sr-Latn-RS"/>
              </w:rPr>
            </w:pPr>
          </w:p>
          <w:p w14:paraId="2EAA8823" w14:textId="77777777" w:rsidR="00DA1C43" w:rsidRPr="00293455" w:rsidRDefault="00DA1C43" w:rsidP="00D25EBB">
            <w:pPr>
              <w:spacing w:after="0" w:line="240" w:lineRule="auto"/>
              <w:rPr>
                <w:b/>
                <w:i/>
                <w:lang w:val="sr-Latn-RS"/>
              </w:rPr>
            </w:pPr>
            <w:r w:rsidRPr="00293455">
              <w:rPr>
                <w:b/>
                <w:i/>
                <w:lang w:val="sr-Latn-RS"/>
              </w:rPr>
              <w:t>Predmet poslovne ideje</w:t>
            </w:r>
          </w:p>
          <w:p w14:paraId="5F35734A" w14:textId="77777777" w:rsidR="00DA1C43" w:rsidRPr="00293455" w:rsidRDefault="00DA1C43" w:rsidP="00D25EBB">
            <w:pPr>
              <w:pStyle w:val="ListParagraph"/>
              <w:numPr>
                <w:ilvl w:val="0"/>
                <w:numId w:val="37"/>
              </w:numPr>
              <w:spacing w:after="0" w:line="240" w:lineRule="auto"/>
              <w:rPr>
                <w:bCs/>
                <w:lang w:val="sr-Latn-RS"/>
              </w:rPr>
            </w:pPr>
            <w:r w:rsidRPr="00293455">
              <w:rPr>
                <w:lang w:val="sr-Latn-RS"/>
              </w:rPr>
              <w:t xml:space="preserve">Da li je poslovna ideja usklađena sa Ciljevima Poziva, tj. da li bi mogla da doprinese povećanju tržišnog potencijala, da doprinese lancu vrednosti i otvori nova radna mesta? </w:t>
            </w:r>
          </w:p>
          <w:p w14:paraId="2094D027" w14:textId="77777777" w:rsidR="00DA1C43" w:rsidRPr="00293455" w:rsidRDefault="00DA1C43" w:rsidP="00D25EBB">
            <w:pPr>
              <w:pStyle w:val="ListParagraph"/>
              <w:numPr>
                <w:ilvl w:val="0"/>
                <w:numId w:val="37"/>
              </w:numPr>
              <w:spacing w:after="0" w:line="240" w:lineRule="auto"/>
              <w:rPr>
                <w:bCs/>
                <w:lang w:val="sr-Latn-RS"/>
              </w:rPr>
            </w:pPr>
            <w:r w:rsidRPr="00293455">
              <w:rPr>
                <w:lang w:val="sr-Latn-RS"/>
              </w:rPr>
              <w:t xml:space="preserve">Da li su predložene aktivnosti u okviru obima Poziva, tj. proizvodna oprema i usluge koje podržavaju opremu? </w:t>
            </w:r>
          </w:p>
          <w:p w14:paraId="08021BB9" w14:textId="77777777" w:rsidR="00DA1C43" w:rsidRPr="00293455" w:rsidRDefault="00DA1C43" w:rsidP="00D25EBB">
            <w:pPr>
              <w:pStyle w:val="ListParagraph"/>
              <w:numPr>
                <w:ilvl w:val="0"/>
                <w:numId w:val="37"/>
              </w:numPr>
              <w:spacing w:after="0" w:line="240" w:lineRule="auto"/>
              <w:rPr>
                <w:bCs/>
                <w:lang w:val="sr-Latn-RS"/>
              </w:rPr>
            </w:pPr>
            <w:r w:rsidRPr="00293455">
              <w:rPr>
                <w:bCs/>
                <w:lang w:val="sr-Latn-RS"/>
              </w:rPr>
              <w:t>Da li predlog poboljšava kvalitet postojećih ili predviđa razvoj novih proizvoda?</w:t>
            </w:r>
          </w:p>
          <w:p w14:paraId="48ED1AD9" w14:textId="2E07FEE5" w:rsidR="00DA1C43" w:rsidRPr="00293455" w:rsidRDefault="00DA1C43" w:rsidP="001679B0">
            <w:pPr>
              <w:pStyle w:val="ListParagraph"/>
              <w:numPr>
                <w:ilvl w:val="0"/>
                <w:numId w:val="37"/>
              </w:numPr>
              <w:spacing w:after="0" w:line="240" w:lineRule="auto"/>
              <w:rPr>
                <w:bCs/>
                <w:lang w:val="sr-Latn-RS"/>
              </w:rPr>
            </w:pPr>
            <w:r w:rsidRPr="00293455">
              <w:rPr>
                <w:bCs/>
                <w:lang w:val="sr-Latn-RS"/>
              </w:rPr>
              <w:t>Da li povećava produktivnost?</w:t>
            </w:r>
          </w:p>
        </w:tc>
        <w:tc>
          <w:tcPr>
            <w:tcW w:w="1373" w:type="dxa"/>
            <w:vAlign w:val="center"/>
          </w:tcPr>
          <w:p w14:paraId="4B2BDB89" w14:textId="77777777" w:rsidR="00DA1C43" w:rsidRPr="00293455" w:rsidRDefault="00DA1C43" w:rsidP="00D25EBB">
            <w:pPr>
              <w:spacing w:after="0" w:line="240" w:lineRule="auto"/>
              <w:jc w:val="center"/>
              <w:rPr>
                <w:b/>
                <w:bCs/>
                <w:lang w:val="sr-Latn-RS"/>
              </w:rPr>
            </w:pPr>
          </w:p>
          <w:p w14:paraId="4B24C53E" w14:textId="186526BB" w:rsidR="00DA1C43" w:rsidRPr="00293455" w:rsidRDefault="00DA1C43" w:rsidP="001679B0">
            <w:pPr>
              <w:spacing w:after="0" w:line="240" w:lineRule="auto"/>
              <w:jc w:val="center"/>
              <w:rPr>
                <w:b/>
                <w:bCs/>
                <w:lang w:val="sr-Latn-RS"/>
              </w:rPr>
            </w:pPr>
            <w:r w:rsidRPr="00293455">
              <w:rPr>
                <w:b/>
                <w:bCs/>
                <w:lang w:val="sr-Latn-RS"/>
              </w:rPr>
              <w:t>20</w:t>
            </w:r>
          </w:p>
        </w:tc>
      </w:tr>
      <w:tr w:rsidR="001679B0" w:rsidRPr="00293455" w14:paraId="29E33B2C" w14:textId="77777777" w:rsidTr="001679B0">
        <w:tc>
          <w:tcPr>
            <w:tcW w:w="1705" w:type="dxa"/>
            <w:vMerge/>
            <w:vAlign w:val="center"/>
          </w:tcPr>
          <w:p w14:paraId="637AF5F1" w14:textId="77777777" w:rsidR="001679B0" w:rsidRPr="00293455" w:rsidRDefault="001679B0" w:rsidP="00D25EBB">
            <w:pPr>
              <w:spacing w:after="0" w:line="240" w:lineRule="auto"/>
              <w:rPr>
                <w:b/>
                <w:bCs/>
                <w:lang w:val="sr-Latn-RS"/>
              </w:rPr>
            </w:pPr>
          </w:p>
        </w:tc>
        <w:tc>
          <w:tcPr>
            <w:tcW w:w="6210" w:type="dxa"/>
            <w:vAlign w:val="center"/>
          </w:tcPr>
          <w:p w14:paraId="3941B394" w14:textId="77777777" w:rsidR="001679B0" w:rsidRPr="00293455" w:rsidRDefault="001679B0" w:rsidP="001679B0">
            <w:pPr>
              <w:spacing w:after="0" w:line="240" w:lineRule="auto"/>
              <w:rPr>
                <w:b/>
                <w:lang w:val="sr-Latn-RS"/>
              </w:rPr>
            </w:pPr>
            <w:r w:rsidRPr="00293455">
              <w:rPr>
                <w:b/>
                <w:i/>
                <w:lang w:val="sr-Latn-RS"/>
              </w:rPr>
              <w:t>Potencijalna tržišta za poslovnu ideju</w:t>
            </w:r>
          </w:p>
          <w:p w14:paraId="7F39F889" w14:textId="289310B5" w:rsidR="001679B0" w:rsidRPr="00293455" w:rsidRDefault="001679B0" w:rsidP="001679B0">
            <w:pPr>
              <w:spacing w:after="0" w:line="240" w:lineRule="auto"/>
              <w:rPr>
                <w:i/>
                <w:lang w:val="sr-Latn-RS"/>
              </w:rPr>
            </w:pPr>
            <w:r w:rsidRPr="00293455">
              <w:rPr>
                <w:lang w:val="sr-Latn-RS"/>
              </w:rPr>
              <w:t>Postoji li tržišni potencijal za poslovnu ideju? Da li je tržište jasno procenjeno?</w:t>
            </w:r>
          </w:p>
        </w:tc>
        <w:tc>
          <w:tcPr>
            <w:tcW w:w="1373" w:type="dxa"/>
            <w:vAlign w:val="center"/>
          </w:tcPr>
          <w:p w14:paraId="6E00A5BD" w14:textId="46F74D81" w:rsidR="001679B0" w:rsidRPr="00293455" w:rsidRDefault="001679B0" w:rsidP="00D25EBB">
            <w:pPr>
              <w:spacing w:after="0" w:line="240" w:lineRule="auto"/>
              <w:jc w:val="center"/>
              <w:rPr>
                <w:b/>
                <w:bCs/>
                <w:lang w:val="sr-Latn-RS"/>
              </w:rPr>
            </w:pPr>
            <w:r w:rsidRPr="00293455">
              <w:rPr>
                <w:b/>
                <w:bCs/>
                <w:lang w:val="sr-Latn-RS"/>
              </w:rPr>
              <w:t>10</w:t>
            </w:r>
          </w:p>
        </w:tc>
      </w:tr>
      <w:tr w:rsidR="00DA1C43" w:rsidRPr="00293455" w14:paraId="60DDA998" w14:textId="77777777" w:rsidTr="001679B0">
        <w:tc>
          <w:tcPr>
            <w:tcW w:w="1705" w:type="dxa"/>
            <w:vMerge/>
            <w:vAlign w:val="center"/>
          </w:tcPr>
          <w:p w14:paraId="5D2672F0" w14:textId="77777777" w:rsidR="00DA1C43" w:rsidRPr="00293455" w:rsidRDefault="00DA1C43" w:rsidP="00D25EBB">
            <w:pPr>
              <w:spacing w:after="0" w:line="240" w:lineRule="auto"/>
              <w:jc w:val="center"/>
              <w:rPr>
                <w:b/>
                <w:bCs/>
                <w:lang w:val="sr-Latn-RS"/>
              </w:rPr>
            </w:pPr>
          </w:p>
        </w:tc>
        <w:tc>
          <w:tcPr>
            <w:tcW w:w="6210" w:type="dxa"/>
            <w:vAlign w:val="center"/>
          </w:tcPr>
          <w:p w14:paraId="27143EC6" w14:textId="77777777" w:rsidR="00DA1C43" w:rsidRPr="00293455" w:rsidRDefault="00DA1C43" w:rsidP="00D25EBB">
            <w:pPr>
              <w:spacing w:after="0" w:line="240" w:lineRule="auto"/>
              <w:rPr>
                <w:b/>
                <w:i/>
                <w:lang w:val="sr-Latn-RS"/>
              </w:rPr>
            </w:pPr>
            <w:r w:rsidRPr="00293455">
              <w:rPr>
                <w:b/>
                <w:i/>
                <w:lang w:val="sr-Latn-RS"/>
              </w:rPr>
              <w:t>Očekivani uticaj poslovne ideje</w:t>
            </w:r>
          </w:p>
          <w:p w14:paraId="4EB906BF" w14:textId="77777777" w:rsidR="00DA1C43" w:rsidRPr="00293455" w:rsidRDefault="00DA1C43" w:rsidP="00D25EBB">
            <w:pPr>
              <w:pStyle w:val="ListParagraph"/>
              <w:numPr>
                <w:ilvl w:val="0"/>
                <w:numId w:val="37"/>
              </w:numPr>
              <w:spacing w:after="0" w:line="240" w:lineRule="auto"/>
              <w:rPr>
                <w:bCs/>
                <w:lang w:val="sr-Latn-RS"/>
              </w:rPr>
            </w:pPr>
            <w:r w:rsidRPr="00293455">
              <w:rPr>
                <w:bCs/>
                <w:lang w:val="sr-Latn-RS"/>
              </w:rPr>
              <w:t>Da li predlog poslovne ideje obuhvata doprinos lancu vrednosti i otvaranje novih radnih mesta?</w:t>
            </w:r>
          </w:p>
          <w:p w14:paraId="2B44BEE8" w14:textId="77777777" w:rsidR="00DA1C43" w:rsidRPr="00293455" w:rsidRDefault="00DA1C43" w:rsidP="00D25EBB">
            <w:pPr>
              <w:pStyle w:val="ListParagraph"/>
              <w:numPr>
                <w:ilvl w:val="0"/>
                <w:numId w:val="37"/>
              </w:numPr>
              <w:spacing w:after="0" w:line="240" w:lineRule="auto"/>
              <w:rPr>
                <w:bCs/>
                <w:lang w:val="sr-Latn-RS"/>
              </w:rPr>
            </w:pPr>
            <w:r w:rsidRPr="00293455">
              <w:rPr>
                <w:bCs/>
                <w:lang w:val="sr-Latn-RS"/>
              </w:rPr>
              <w:t>Da li predlog sadrži posebne elemente dodate vrednosti, kao što su:</w:t>
            </w:r>
          </w:p>
          <w:p w14:paraId="075C84E1" w14:textId="77777777" w:rsidR="00DA1C43" w:rsidRPr="00293455" w:rsidRDefault="00DA1C43" w:rsidP="00D25EBB">
            <w:pPr>
              <w:pStyle w:val="ListParagraph"/>
              <w:numPr>
                <w:ilvl w:val="0"/>
                <w:numId w:val="38"/>
              </w:numPr>
              <w:spacing w:after="0" w:line="240" w:lineRule="auto"/>
              <w:rPr>
                <w:bCs/>
                <w:lang w:val="sr-Latn-RS"/>
              </w:rPr>
            </w:pPr>
            <w:r w:rsidRPr="00293455">
              <w:rPr>
                <w:bCs/>
                <w:lang w:val="sr-Latn-RS"/>
              </w:rPr>
              <w:t>promovisanje rodne ravnopravnosti i jednakih mogućnosti</w:t>
            </w:r>
          </w:p>
          <w:p w14:paraId="036260DE" w14:textId="77777777" w:rsidR="00DA1C43" w:rsidRPr="00293455" w:rsidRDefault="00DA1C43" w:rsidP="00D25EBB">
            <w:pPr>
              <w:pStyle w:val="ListParagraph"/>
              <w:numPr>
                <w:ilvl w:val="0"/>
                <w:numId w:val="38"/>
              </w:numPr>
              <w:spacing w:after="0" w:line="240" w:lineRule="auto"/>
              <w:rPr>
                <w:bCs/>
                <w:lang w:val="sr-Latn-RS"/>
              </w:rPr>
            </w:pPr>
            <w:r w:rsidRPr="00293455">
              <w:rPr>
                <w:bCs/>
                <w:lang w:val="sr-Latn-RS"/>
              </w:rPr>
              <w:t>potrebe osoba sa invaliditetom i mladih, prava manjina</w:t>
            </w:r>
          </w:p>
          <w:p w14:paraId="702ACFCE" w14:textId="77777777" w:rsidR="00DA1C43" w:rsidRPr="00293455" w:rsidRDefault="00DA1C43" w:rsidP="00D25EBB">
            <w:pPr>
              <w:pStyle w:val="ListParagraph"/>
              <w:numPr>
                <w:ilvl w:val="0"/>
                <w:numId w:val="38"/>
              </w:numPr>
              <w:spacing w:after="0" w:line="240" w:lineRule="auto"/>
              <w:rPr>
                <w:bCs/>
                <w:lang w:val="sr-Latn-RS"/>
              </w:rPr>
            </w:pPr>
            <w:r w:rsidRPr="00293455">
              <w:rPr>
                <w:bCs/>
                <w:lang w:val="sr-Latn-RS"/>
              </w:rPr>
              <w:t xml:space="preserve">uvođenje inovacija </w:t>
            </w:r>
          </w:p>
        </w:tc>
        <w:tc>
          <w:tcPr>
            <w:tcW w:w="1373" w:type="dxa"/>
            <w:vAlign w:val="center"/>
          </w:tcPr>
          <w:p w14:paraId="5072D838" w14:textId="77777777" w:rsidR="00DA1C43" w:rsidRPr="00293455" w:rsidRDefault="00DA1C43" w:rsidP="00D25EBB">
            <w:pPr>
              <w:spacing w:after="0" w:line="240" w:lineRule="auto"/>
              <w:jc w:val="center"/>
              <w:rPr>
                <w:b/>
                <w:bCs/>
                <w:lang w:val="sr-Latn-RS"/>
              </w:rPr>
            </w:pPr>
            <w:r w:rsidRPr="00293455">
              <w:rPr>
                <w:b/>
                <w:bCs/>
                <w:lang w:val="sr-Latn-RS"/>
              </w:rPr>
              <w:t>20</w:t>
            </w:r>
          </w:p>
        </w:tc>
      </w:tr>
      <w:tr w:rsidR="001679B0" w:rsidRPr="00293455" w14:paraId="62E0A420" w14:textId="77777777" w:rsidTr="001679B0">
        <w:tc>
          <w:tcPr>
            <w:tcW w:w="1705" w:type="dxa"/>
            <w:vMerge w:val="restart"/>
            <w:vAlign w:val="center"/>
          </w:tcPr>
          <w:p w14:paraId="32C01079" w14:textId="77777777" w:rsidR="001679B0" w:rsidRPr="00293455" w:rsidRDefault="001679B0" w:rsidP="00D25EBB">
            <w:pPr>
              <w:spacing w:after="0" w:line="240" w:lineRule="auto"/>
              <w:rPr>
                <w:b/>
                <w:bCs/>
                <w:lang w:val="sr-Latn-RS"/>
              </w:rPr>
            </w:pPr>
            <w:r w:rsidRPr="00293455">
              <w:rPr>
                <w:b/>
                <w:bCs/>
                <w:lang w:val="sr-Latn-RS"/>
              </w:rPr>
              <w:t>Kapaciteti za ostvarivanje poslovne ideje (40)</w:t>
            </w:r>
          </w:p>
          <w:p w14:paraId="0D44CD26" w14:textId="77777777" w:rsidR="001679B0" w:rsidRPr="00293455" w:rsidRDefault="001679B0" w:rsidP="00D25EBB">
            <w:pPr>
              <w:spacing w:after="0" w:line="240" w:lineRule="auto"/>
              <w:jc w:val="center"/>
              <w:rPr>
                <w:b/>
                <w:bCs/>
                <w:lang w:val="sr-Latn-RS"/>
              </w:rPr>
            </w:pPr>
          </w:p>
        </w:tc>
        <w:tc>
          <w:tcPr>
            <w:tcW w:w="6210" w:type="dxa"/>
            <w:vAlign w:val="center"/>
          </w:tcPr>
          <w:p w14:paraId="237EE075" w14:textId="77777777" w:rsidR="001679B0" w:rsidRPr="00293455" w:rsidRDefault="001679B0" w:rsidP="00D25EBB">
            <w:pPr>
              <w:spacing w:after="0" w:line="240" w:lineRule="auto"/>
              <w:rPr>
                <w:b/>
                <w:i/>
                <w:lang w:val="sr-Latn-RS"/>
              </w:rPr>
            </w:pPr>
            <w:r w:rsidRPr="00293455">
              <w:rPr>
                <w:b/>
                <w:i/>
                <w:lang w:val="sr-Latn-RS"/>
              </w:rPr>
              <w:t>Fizički kapaciteti</w:t>
            </w:r>
          </w:p>
          <w:p w14:paraId="6DD6F0B1" w14:textId="5CE677D2" w:rsidR="001679B0" w:rsidRPr="00293455" w:rsidRDefault="001679B0" w:rsidP="001679B0">
            <w:pPr>
              <w:pStyle w:val="ListParagraph"/>
              <w:numPr>
                <w:ilvl w:val="0"/>
                <w:numId w:val="36"/>
              </w:numPr>
              <w:spacing w:after="0" w:line="240" w:lineRule="auto"/>
              <w:rPr>
                <w:bCs/>
                <w:lang w:val="sr-Latn-RS"/>
              </w:rPr>
            </w:pPr>
            <w:r w:rsidRPr="00293455">
              <w:rPr>
                <w:bCs/>
                <w:lang w:val="sr-Latn-RS"/>
              </w:rPr>
              <w:t xml:space="preserve">Da li kandidat ima adekvatne objekte i prostor za instalaciju tražene opreme? </w:t>
            </w:r>
          </w:p>
        </w:tc>
        <w:tc>
          <w:tcPr>
            <w:tcW w:w="1373" w:type="dxa"/>
            <w:vAlign w:val="center"/>
          </w:tcPr>
          <w:p w14:paraId="4A48B8A6" w14:textId="108FA6C2" w:rsidR="001679B0" w:rsidRPr="00293455" w:rsidRDefault="001679B0" w:rsidP="001679B0">
            <w:pPr>
              <w:spacing w:after="0" w:line="240" w:lineRule="auto"/>
              <w:jc w:val="center"/>
              <w:rPr>
                <w:b/>
                <w:bCs/>
                <w:lang w:val="sr-Latn-RS"/>
              </w:rPr>
            </w:pPr>
            <w:r w:rsidRPr="00293455">
              <w:rPr>
                <w:b/>
                <w:bCs/>
                <w:lang w:val="sr-Latn-RS"/>
              </w:rPr>
              <w:t>10</w:t>
            </w:r>
          </w:p>
        </w:tc>
      </w:tr>
      <w:tr w:rsidR="001679B0" w:rsidRPr="00293455" w14:paraId="6DF80381" w14:textId="77777777" w:rsidTr="001679B0">
        <w:tc>
          <w:tcPr>
            <w:tcW w:w="1705" w:type="dxa"/>
            <w:vMerge/>
            <w:vAlign w:val="center"/>
          </w:tcPr>
          <w:p w14:paraId="65023DB2" w14:textId="77777777" w:rsidR="001679B0" w:rsidRPr="00293455" w:rsidRDefault="001679B0" w:rsidP="00D25EBB">
            <w:pPr>
              <w:spacing w:after="0" w:line="240" w:lineRule="auto"/>
              <w:rPr>
                <w:b/>
                <w:bCs/>
                <w:lang w:val="sr-Latn-RS"/>
              </w:rPr>
            </w:pPr>
          </w:p>
        </w:tc>
        <w:tc>
          <w:tcPr>
            <w:tcW w:w="6210" w:type="dxa"/>
            <w:vAlign w:val="center"/>
          </w:tcPr>
          <w:p w14:paraId="01C15AD0" w14:textId="77777777" w:rsidR="001679B0" w:rsidRPr="00293455" w:rsidRDefault="001679B0" w:rsidP="001679B0">
            <w:pPr>
              <w:spacing w:after="0" w:line="240" w:lineRule="auto"/>
              <w:rPr>
                <w:b/>
                <w:i/>
                <w:lang w:val="sr-Latn-RS"/>
              </w:rPr>
            </w:pPr>
            <w:r w:rsidRPr="00293455">
              <w:rPr>
                <w:b/>
                <w:i/>
                <w:lang w:val="sr-Latn-RS"/>
              </w:rPr>
              <w:t>Ljudski resursi</w:t>
            </w:r>
          </w:p>
          <w:p w14:paraId="2205B98C" w14:textId="419EC9DD" w:rsidR="001679B0" w:rsidRPr="00293455" w:rsidRDefault="001679B0" w:rsidP="001679B0">
            <w:pPr>
              <w:pStyle w:val="ListParagraph"/>
              <w:numPr>
                <w:ilvl w:val="0"/>
                <w:numId w:val="36"/>
              </w:numPr>
              <w:spacing w:after="0" w:line="240" w:lineRule="auto"/>
              <w:rPr>
                <w:bCs/>
                <w:lang w:val="sr-Latn-RS"/>
              </w:rPr>
            </w:pPr>
            <w:r w:rsidRPr="00293455">
              <w:rPr>
                <w:bCs/>
                <w:lang w:val="sr-Latn-RS"/>
              </w:rPr>
              <w:t>Da li projektni tim ima iskustvo i stručnost za ostvarivanje poslovne ideje?</w:t>
            </w:r>
          </w:p>
        </w:tc>
        <w:tc>
          <w:tcPr>
            <w:tcW w:w="1373" w:type="dxa"/>
            <w:vAlign w:val="center"/>
          </w:tcPr>
          <w:p w14:paraId="50ABE834" w14:textId="03B2EE4B" w:rsidR="001679B0" w:rsidRPr="00293455" w:rsidRDefault="001679B0" w:rsidP="001679B0">
            <w:pPr>
              <w:spacing w:after="0" w:line="240" w:lineRule="auto"/>
              <w:jc w:val="center"/>
              <w:rPr>
                <w:b/>
                <w:bCs/>
                <w:lang w:val="sr-Latn-RS"/>
              </w:rPr>
            </w:pPr>
            <w:r w:rsidRPr="00293455">
              <w:rPr>
                <w:b/>
                <w:bCs/>
                <w:lang w:val="sr-Latn-RS"/>
              </w:rPr>
              <w:t>10</w:t>
            </w:r>
          </w:p>
        </w:tc>
      </w:tr>
      <w:tr w:rsidR="001679B0" w:rsidRPr="00293455" w14:paraId="2955CB2F" w14:textId="77777777" w:rsidTr="001679B0">
        <w:tc>
          <w:tcPr>
            <w:tcW w:w="1705" w:type="dxa"/>
            <w:vMerge/>
            <w:vAlign w:val="center"/>
          </w:tcPr>
          <w:p w14:paraId="0ED165B6" w14:textId="77777777" w:rsidR="001679B0" w:rsidRPr="00293455" w:rsidRDefault="001679B0" w:rsidP="00D25EBB">
            <w:pPr>
              <w:spacing w:after="0" w:line="240" w:lineRule="auto"/>
              <w:rPr>
                <w:b/>
                <w:bCs/>
                <w:lang w:val="sr-Latn-RS"/>
              </w:rPr>
            </w:pPr>
          </w:p>
        </w:tc>
        <w:tc>
          <w:tcPr>
            <w:tcW w:w="6210" w:type="dxa"/>
            <w:vAlign w:val="center"/>
          </w:tcPr>
          <w:p w14:paraId="4F9A9D1A" w14:textId="77777777" w:rsidR="001679B0" w:rsidRPr="00293455" w:rsidRDefault="001679B0" w:rsidP="001679B0">
            <w:pPr>
              <w:spacing w:after="0" w:line="240" w:lineRule="auto"/>
              <w:jc w:val="both"/>
              <w:rPr>
                <w:bCs/>
                <w:lang w:val="sr-Latn-RS"/>
              </w:rPr>
            </w:pPr>
            <w:r w:rsidRPr="00293455">
              <w:rPr>
                <w:b/>
                <w:i/>
                <w:lang w:val="sr-Latn-RS"/>
              </w:rPr>
              <w:t>Operativni i tehnički kapaciteti</w:t>
            </w:r>
          </w:p>
          <w:p w14:paraId="1237A474" w14:textId="7359AF3D" w:rsidR="001679B0" w:rsidRPr="00293455" w:rsidRDefault="001679B0" w:rsidP="001679B0">
            <w:pPr>
              <w:pStyle w:val="ListParagraph"/>
              <w:numPr>
                <w:ilvl w:val="0"/>
                <w:numId w:val="36"/>
              </w:numPr>
              <w:spacing w:after="0" w:line="240" w:lineRule="auto"/>
              <w:rPr>
                <w:bCs/>
                <w:lang w:val="sr-Latn-RS"/>
              </w:rPr>
            </w:pPr>
            <w:r w:rsidRPr="00293455">
              <w:rPr>
                <w:bCs/>
                <w:lang w:val="sr-Latn-RS"/>
              </w:rPr>
              <w:t>Postoje li tehnički zahtevi van projekta koji moraju da se ispune kako bi se omogućila realizacija poslovne ideje?</w:t>
            </w:r>
          </w:p>
        </w:tc>
        <w:tc>
          <w:tcPr>
            <w:tcW w:w="1373" w:type="dxa"/>
            <w:vAlign w:val="center"/>
          </w:tcPr>
          <w:p w14:paraId="7BACA57E" w14:textId="6C04A90A" w:rsidR="001679B0" w:rsidRPr="00293455" w:rsidRDefault="001679B0" w:rsidP="001679B0">
            <w:pPr>
              <w:spacing w:after="0" w:line="240" w:lineRule="auto"/>
              <w:jc w:val="center"/>
              <w:rPr>
                <w:b/>
                <w:bCs/>
                <w:lang w:val="sr-Latn-RS"/>
              </w:rPr>
            </w:pPr>
            <w:r w:rsidRPr="00293455">
              <w:rPr>
                <w:b/>
                <w:bCs/>
                <w:lang w:val="sr-Latn-RS"/>
              </w:rPr>
              <w:t>10</w:t>
            </w:r>
          </w:p>
        </w:tc>
      </w:tr>
      <w:tr w:rsidR="001679B0" w:rsidRPr="00293455" w14:paraId="7A2040A7" w14:textId="77777777" w:rsidTr="001679B0">
        <w:tc>
          <w:tcPr>
            <w:tcW w:w="1705" w:type="dxa"/>
            <w:vMerge/>
            <w:vAlign w:val="center"/>
          </w:tcPr>
          <w:p w14:paraId="3CE659C4" w14:textId="77777777" w:rsidR="001679B0" w:rsidRPr="00293455" w:rsidRDefault="001679B0" w:rsidP="00D25EBB">
            <w:pPr>
              <w:spacing w:after="0" w:line="240" w:lineRule="auto"/>
              <w:rPr>
                <w:b/>
                <w:bCs/>
                <w:lang w:val="sr-Latn-RS"/>
              </w:rPr>
            </w:pPr>
          </w:p>
        </w:tc>
        <w:tc>
          <w:tcPr>
            <w:tcW w:w="6210" w:type="dxa"/>
            <w:vAlign w:val="center"/>
          </w:tcPr>
          <w:p w14:paraId="36D6AA45" w14:textId="77777777" w:rsidR="001679B0" w:rsidRPr="00293455" w:rsidRDefault="001679B0" w:rsidP="001679B0">
            <w:pPr>
              <w:spacing w:after="0" w:line="240" w:lineRule="auto"/>
              <w:rPr>
                <w:b/>
                <w:i/>
                <w:lang w:val="sr-Latn-RS"/>
              </w:rPr>
            </w:pPr>
            <w:r w:rsidRPr="00293455">
              <w:rPr>
                <w:b/>
                <w:i/>
                <w:lang w:val="sr-Latn-RS"/>
              </w:rPr>
              <w:t>Finansijski kapaciteti</w:t>
            </w:r>
          </w:p>
          <w:p w14:paraId="644EDADA" w14:textId="77777777" w:rsidR="001679B0" w:rsidRPr="00293455" w:rsidRDefault="001679B0" w:rsidP="001679B0">
            <w:pPr>
              <w:pStyle w:val="ListParagraph"/>
              <w:numPr>
                <w:ilvl w:val="0"/>
                <w:numId w:val="36"/>
              </w:numPr>
              <w:spacing w:after="0" w:line="240" w:lineRule="auto"/>
              <w:jc w:val="both"/>
              <w:rPr>
                <w:bCs/>
                <w:lang w:val="sr-Latn-RS"/>
              </w:rPr>
            </w:pPr>
            <w:r w:rsidRPr="00293455">
              <w:rPr>
                <w:bCs/>
                <w:lang w:val="sr-Latn-RS"/>
              </w:rPr>
              <w:t>Da li kandidat ima finansijski kapacitet za ostvarivanje poslovne ideje?</w:t>
            </w:r>
          </w:p>
          <w:p w14:paraId="6C0E8473" w14:textId="402EC978" w:rsidR="001679B0" w:rsidRPr="00293455" w:rsidRDefault="001679B0" w:rsidP="001679B0">
            <w:pPr>
              <w:spacing w:after="0" w:line="240" w:lineRule="auto"/>
              <w:jc w:val="both"/>
              <w:rPr>
                <w:b/>
                <w:i/>
                <w:lang w:val="sr-Latn-RS"/>
              </w:rPr>
            </w:pPr>
            <w:r w:rsidRPr="00293455">
              <w:rPr>
                <w:bCs/>
                <w:lang w:val="sr-Latn-RS"/>
              </w:rPr>
              <w:t>Da li je kandidat izračunao sve relevantne troškove za ostvarivanje poslovne ideje (npr. instalacija opreme)?</w:t>
            </w:r>
          </w:p>
        </w:tc>
        <w:tc>
          <w:tcPr>
            <w:tcW w:w="1373" w:type="dxa"/>
            <w:vAlign w:val="center"/>
          </w:tcPr>
          <w:p w14:paraId="03FC1E3A" w14:textId="09D5E8A9" w:rsidR="001679B0" w:rsidRPr="00293455" w:rsidRDefault="001679B0" w:rsidP="001679B0">
            <w:pPr>
              <w:spacing w:after="0" w:line="240" w:lineRule="auto"/>
              <w:jc w:val="center"/>
              <w:rPr>
                <w:b/>
                <w:bCs/>
                <w:lang w:val="sr-Latn-RS"/>
              </w:rPr>
            </w:pPr>
            <w:r w:rsidRPr="00293455">
              <w:rPr>
                <w:b/>
                <w:bCs/>
                <w:lang w:val="sr-Latn-RS"/>
              </w:rPr>
              <w:t>10</w:t>
            </w:r>
          </w:p>
        </w:tc>
      </w:tr>
      <w:tr w:rsidR="00DA1C43" w:rsidRPr="00293455" w14:paraId="42486A27" w14:textId="77777777" w:rsidTr="001679B0">
        <w:tc>
          <w:tcPr>
            <w:tcW w:w="1705" w:type="dxa"/>
            <w:vAlign w:val="center"/>
          </w:tcPr>
          <w:p w14:paraId="5F054813" w14:textId="04D1C861" w:rsidR="00DA1C43" w:rsidRPr="00293455" w:rsidRDefault="00AA5314" w:rsidP="00D25EBB">
            <w:pPr>
              <w:spacing w:after="0" w:line="240" w:lineRule="auto"/>
              <w:rPr>
                <w:b/>
                <w:bCs/>
                <w:lang w:val="sr-Latn-RS"/>
              </w:rPr>
            </w:pPr>
            <w:r w:rsidRPr="00293455">
              <w:rPr>
                <w:b/>
                <w:bCs/>
                <w:lang w:val="sr-Latn-RS"/>
              </w:rPr>
              <w:t>Plan aktivnosti</w:t>
            </w:r>
            <w:r w:rsidR="00DA1C43" w:rsidRPr="00293455">
              <w:rPr>
                <w:b/>
                <w:bCs/>
                <w:lang w:val="sr-Latn-RS"/>
              </w:rPr>
              <w:t xml:space="preserve"> i izvodljivost poslovne ideje (10)</w:t>
            </w:r>
          </w:p>
          <w:p w14:paraId="68AAE2AE" w14:textId="77777777" w:rsidR="00DA1C43" w:rsidRPr="00293455" w:rsidRDefault="00DA1C43" w:rsidP="00D25EBB">
            <w:pPr>
              <w:spacing w:after="0" w:line="240" w:lineRule="auto"/>
              <w:jc w:val="center"/>
              <w:rPr>
                <w:b/>
                <w:bCs/>
                <w:lang w:val="sr-Latn-RS"/>
              </w:rPr>
            </w:pPr>
          </w:p>
        </w:tc>
        <w:tc>
          <w:tcPr>
            <w:tcW w:w="6210" w:type="dxa"/>
            <w:vAlign w:val="center"/>
          </w:tcPr>
          <w:p w14:paraId="3A626A77" w14:textId="77777777" w:rsidR="00DA1C43" w:rsidRPr="00293455" w:rsidRDefault="00DA1C43" w:rsidP="00D25EBB">
            <w:pPr>
              <w:pStyle w:val="ListParagraph"/>
              <w:numPr>
                <w:ilvl w:val="0"/>
                <w:numId w:val="36"/>
              </w:numPr>
              <w:spacing w:after="0" w:line="240" w:lineRule="auto"/>
              <w:jc w:val="both"/>
              <w:rPr>
                <w:bCs/>
                <w:lang w:val="sr-Latn-RS"/>
              </w:rPr>
            </w:pPr>
            <w:r w:rsidRPr="00293455">
              <w:rPr>
                <w:bCs/>
                <w:lang w:val="sr-Latn-RS"/>
              </w:rPr>
              <w:lastRenderedPageBreak/>
              <w:t>Da li su predložene aktivnosti pogodne i dosledne u odnosu na očekivane poslovne rezultate?</w:t>
            </w:r>
          </w:p>
          <w:p w14:paraId="6C9B26E0" w14:textId="77777777" w:rsidR="00DA1C43" w:rsidRPr="00293455" w:rsidRDefault="00DA1C43" w:rsidP="00D25EBB">
            <w:pPr>
              <w:pStyle w:val="ListParagraph"/>
              <w:numPr>
                <w:ilvl w:val="0"/>
                <w:numId w:val="36"/>
              </w:numPr>
              <w:spacing w:after="0" w:line="240" w:lineRule="auto"/>
              <w:jc w:val="both"/>
              <w:rPr>
                <w:bCs/>
                <w:lang w:val="sr-Latn-RS"/>
              </w:rPr>
            </w:pPr>
            <w:r w:rsidRPr="00293455">
              <w:rPr>
                <w:bCs/>
                <w:lang w:val="sr-Latn-RS"/>
              </w:rPr>
              <w:lastRenderedPageBreak/>
              <w:t>Da li je predviđeni vremenski okvir realan i da li obuhvata beleženje početnih rezultata?</w:t>
            </w:r>
          </w:p>
          <w:p w14:paraId="172F62CD" w14:textId="77777777" w:rsidR="00DA1C43" w:rsidRPr="00293455" w:rsidRDefault="00DA1C43" w:rsidP="00D25EBB">
            <w:pPr>
              <w:pStyle w:val="ListParagraph"/>
              <w:numPr>
                <w:ilvl w:val="0"/>
                <w:numId w:val="36"/>
              </w:numPr>
              <w:spacing w:after="0" w:line="240" w:lineRule="auto"/>
              <w:jc w:val="both"/>
              <w:rPr>
                <w:lang w:val="sr-Latn-RS"/>
              </w:rPr>
            </w:pPr>
            <w:r w:rsidRPr="00293455">
              <w:rPr>
                <w:bCs/>
                <w:lang w:val="sr-Latn-RS"/>
              </w:rPr>
              <w:t>Da li je predložena tehnologija dostupna? Postoje li potencijalne prepreke koje su uzete u obzir i mogu se rešiti u predviđenom vremenskom okviru?</w:t>
            </w:r>
          </w:p>
        </w:tc>
        <w:tc>
          <w:tcPr>
            <w:tcW w:w="1373" w:type="dxa"/>
            <w:vAlign w:val="center"/>
          </w:tcPr>
          <w:p w14:paraId="5F6F0CBC" w14:textId="77777777" w:rsidR="00DA1C43" w:rsidRPr="00293455" w:rsidRDefault="00DA1C43" w:rsidP="00D25EBB">
            <w:pPr>
              <w:spacing w:after="0" w:line="240" w:lineRule="auto"/>
              <w:jc w:val="center"/>
              <w:rPr>
                <w:b/>
                <w:bCs/>
                <w:lang w:val="sr-Latn-RS"/>
              </w:rPr>
            </w:pPr>
            <w:r w:rsidRPr="00293455">
              <w:rPr>
                <w:b/>
                <w:bCs/>
                <w:lang w:val="sr-Latn-RS"/>
              </w:rPr>
              <w:lastRenderedPageBreak/>
              <w:t>10</w:t>
            </w:r>
          </w:p>
        </w:tc>
      </w:tr>
      <w:tr w:rsidR="001679B0" w:rsidRPr="00293455" w14:paraId="58A56B6B" w14:textId="77777777" w:rsidTr="00F315DF">
        <w:tc>
          <w:tcPr>
            <w:tcW w:w="7915" w:type="dxa"/>
            <w:gridSpan w:val="2"/>
            <w:vAlign w:val="center"/>
          </w:tcPr>
          <w:p w14:paraId="0AD3F964" w14:textId="5D16C768" w:rsidR="001679B0" w:rsidRPr="00293455" w:rsidRDefault="001679B0" w:rsidP="001679B0">
            <w:pPr>
              <w:pStyle w:val="ListParagraph"/>
              <w:spacing w:after="0" w:line="240" w:lineRule="auto"/>
              <w:ind w:left="360"/>
              <w:jc w:val="right"/>
              <w:rPr>
                <w:b/>
                <w:bCs/>
                <w:lang w:val="sr-Latn-RS"/>
              </w:rPr>
            </w:pPr>
            <w:r w:rsidRPr="00293455">
              <w:rPr>
                <w:b/>
                <w:bCs/>
                <w:lang w:val="sr-Latn-RS"/>
              </w:rPr>
              <w:lastRenderedPageBreak/>
              <w:t>Ukupan broj bodova</w:t>
            </w:r>
          </w:p>
        </w:tc>
        <w:tc>
          <w:tcPr>
            <w:tcW w:w="1373" w:type="dxa"/>
            <w:vAlign w:val="center"/>
          </w:tcPr>
          <w:p w14:paraId="01133358" w14:textId="4DECB66C" w:rsidR="001679B0" w:rsidRPr="00293455" w:rsidRDefault="001679B0" w:rsidP="00D25EBB">
            <w:pPr>
              <w:spacing w:after="0" w:line="240" w:lineRule="auto"/>
              <w:jc w:val="center"/>
              <w:rPr>
                <w:b/>
                <w:bCs/>
                <w:lang w:val="sr-Latn-RS"/>
              </w:rPr>
            </w:pPr>
            <w:r w:rsidRPr="00293455">
              <w:rPr>
                <w:b/>
                <w:bCs/>
                <w:lang w:val="sr-Latn-RS"/>
              </w:rPr>
              <w:t>100</w:t>
            </w:r>
          </w:p>
        </w:tc>
      </w:tr>
    </w:tbl>
    <w:p w14:paraId="4FA8B3A8" w14:textId="406BA280" w:rsidR="00DA1C43" w:rsidRPr="00293455" w:rsidRDefault="00DA1C43" w:rsidP="00812160">
      <w:pPr>
        <w:jc w:val="both"/>
        <w:rPr>
          <w:i/>
          <w:lang w:val="sr-Latn-RS"/>
        </w:rPr>
      </w:pPr>
      <w:r w:rsidRPr="00293455">
        <w:rPr>
          <w:i/>
          <w:lang w:val="sr-Latn-RS"/>
        </w:rPr>
        <w:t xml:space="preserve">NAPOMENA: Bodovi će se dodeljivati na skali 0–10 ili 0–20 u vezi sa </w:t>
      </w:r>
      <w:r w:rsidR="00370B4A" w:rsidRPr="00293455">
        <w:rPr>
          <w:i/>
          <w:lang w:val="sr-Latn-RS"/>
        </w:rPr>
        <w:t xml:space="preserve">jačinom i osnovanošću </w:t>
      </w:r>
      <w:r w:rsidRPr="00293455">
        <w:rPr>
          <w:i/>
          <w:lang w:val="sr-Latn-RS"/>
        </w:rPr>
        <w:t>argumenata i kvalitetom odgovora na pitanja.</w:t>
      </w:r>
    </w:p>
    <w:p w14:paraId="03E7E482" w14:textId="3238CE11" w:rsidR="001679B0" w:rsidRPr="00293455" w:rsidRDefault="001679B0" w:rsidP="001679B0">
      <w:pPr>
        <w:spacing w:after="0" w:line="240" w:lineRule="auto"/>
        <w:jc w:val="both"/>
        <w:rPr>
          <w:lang w:val="sr-Latn-RS"/>
        </w:rPr>
      </w:pPr>
      <w:r w:rsidRPr="00293455">
        <w:rPr>
          <w:lang w:val="sr-Latn-RS"/>
        </w:rPr>
        <w:t>Samo kandidati koji su ostvarili ukupan rezultat od minimum 70 bodova biće uzeti u obzir za kvalifikovanje u drugu fazu procesa odabira korisnika.</w:t>
      </w:r>
    </w:p>
    <w:p w14:paraId="160103FC" w14:textId="77777777" w:rsidR="00DA1C43" w:rsidRPr="00293455" w:rsidRDefault="00DA1C43" w:rsidP="00820227">
      <w:pPr>
        <w:rPr>
          <w:lang w:val="sr-Latn-RS"/>
        </w:rPr>
      </w:pPr>
    </w:p>
    <w:p w14:paraId="400286C1" w14:textId="77DBA78D" w:rsidR="00DA1C43" w:rsidRPr="00293455" w:rsidRDefault="00AA5314" w:rsidP="000A2F06">
      <w:pPr>
        <w:pStyle w:val="Heading3"/>
        <w:numPr>
          <w:ilvl w:val="0"/>
          <w:numId w:val="25"/>
        </w:numPr>
        <w:rPr>
          <w:b/>
          <w:lang w:val="sr-Latn-RS"/>
        </w:rPr>
      </w:pPr>
      <w:r w:rsidRPr="00293455">
        <w:rPr>
          <w:b/>
          <w:lang w:val="sr-Latn-RS"/>
        </w:rPr>
        <w:t>Kriterijumi za e</w:t>
      </w:r>
      <w:r w:rsidR="00DA1C43" w:rsidRPr="00293455">
        <w:rPr>
          <w:b/>
          <w:lang w:val="sr-Latn-RS"/>
        </w:rPr>
        <w:t>valuacij</w:t>
      </w:r>
      <w:r w:rsidRPr="00293455">
        <w:rPr>
          <w:b/>
          <w:lang w:val="sr-Latn-RS"/>
        </w:rPr>
        <w:t>u</w:t>
      </w:r>
      <w:r w:rsidR="00DA1C43" w:rsidRPr="00293455">
        <w:rPr>
          <w:b/>
          <w:lang w:val="sr-Latn-RS"/>
        </w:rPr>
        <w:t xml:space="preserve"> </w:t>
      </w:r>
      <w:r w:rsidRPr="00293455">
        <w:rPr>
          <w:b/>
          <w:lang w:val="sr-Latn-RS"/>
        </w:rPr>
        <w:t>K</w:t>
      </w:r>
      <w:r w:rsidR="00370B4A" w:rsidRPr="00293455">
        <w:rPr>
          <w:b/>
          <w:lang w:val="sr-Latn-RS"/>
        </w:rPr>
        <w:t>ompletnog aplikacionog formulara</w:t>
      </w:r>
    </w:p>
    <w:p w14:paraId="3BF87A66" w14:textId="221CBD5B" w:rsidR="00DA1C43" w:rsidRPr="00293455" w:rsidRDefault="00DA1C43" w:rsidP="0081317B">
      <w:pPr>
        <w:spacing w:after="0" w:line="240" w:lineRule="auto"/>
        <w:jc w:val="both"/>
        <w:rPr>
          <w:lang w:val="sr-Latn-RS"/>
        </w:rPr>
      </w:pPr>
      <w:r w:rsidRPr="00293455">
        <w:rPr>
          <w:lang w:val="sr-Latn-RS"/>
        </w:rPr>
        <w:t xml:space="preserve">Kompletni </w:t>
      </w:r>
      <w:r w:rsidR="00370B4A" w:rsidRPr="00293455">
        <w:rPr>
          <w:lang w:val="sr-Latn-RS"/>
        </w:rPr>
        <w:t>aplikacioni formulari</w:t>
      </w:r>
      <w:r w:rsidRPr="00293455">
        <w:rPr>
          <w:lang w:val="sr-Latn-RS"/>
        </w:rPr>
        <w:t xml:space="preserve"> koje su dostavili kvalifikovani kandidati sa pozitivno procenjenim Konceptima</w:t>
      </w:r>
      <w:r w:rsidR="00370B4A" w:rsidRPr="00293455">
        <w:rPr>
          <w:lang w:val="sr-Latn-RS"/>
        </w:rPr>
        <w:t xml:space="preserve"> predloga projekata</w:t>
      </w:r>
      <w:r w:rsidRPr="00293455">
        <w:rPr>
          <w:lang w:val="sr-Latn-RS"/>
        </w:rPr>
        <w:t xml:space="preserve"> biće vrednovani na osnovu sledećih kriterijuma koji ocenjuju očekivane rezultate i efekte, održivost, društveni uticaj i troškove.</w:t>
      </w:r>
    </w:p>
    <w:p w14:paraId="467C5E31" w14:textId="77777777" w:rsidR="00DA1C43" w:rsidRPr="00293455" w:rsidRDefault="00DA1C43" w:rsidP="0081317B">
      <w:pPr>
        <w:spacing w:after="0" w:line="240" w:lineRule="auto"/>
        <w:jc w:val="both"/>
        <w:rPr>
          <w:lang w:val="sr-Latn-RS"/>
        </w:rPr>
      </w:pPr>
    </w:p>
    <w:tbl>
      <w:tblPr>
        <w:tblW w:w="9247"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E0" w:firstRow="1" w:lastRow="1" w:firstColumn="1" w:lastColumn="0" w:noHBand="0" w:noVBand="0"/>
      </w:tblPr>
      <w:tblGrid>
        <w:gridCol w:w="1597"/>
        <w:gridCol w:w="6300"/>
        <w:gridCol w:w="1350"/>
      </w:tblGrid>
      <w:tr w:rsidR="00DA1C43" w:rsidRPr="00293455" w14:paraId="6DB8F7D9" w14:textId="77777777" w:rsidTr="00294D24">
        <w:trPr>
          <w:cantSplit/>
          <w:trHeight w:val="593"/>
          <w:tblHeader/>
        </w:trPr>
        <w:tc>
          <w:tcPr>
            <w:tcW w:w="1597" w:type="dxa"/>
            <w:tcBorders>
              <w:bottom w:val="single" w:sz="12" w:space="0" w:color="8EAADB"/>
            </w:tcBorders>
            <w:vAlign w:val="center"/>
          </w:tcPr>
          <w:p w14:paraId="2C364E0D" w14:textId="77777777" w:rsidR="00DA1C43" w:rsidRPr="00293455" w:rsidRDefault="00DA1C43" w:rsidP="009C1B20">
            <w:pPr>
              <w:rPr>
                <w:b/>
                <w:bCs/>
                <w:lang w:val="sr-Latn-RS"/>
              </w:rPr>
            </w:pPr>
            <w:r w:rsidRPr="00293455">
              <w:rPr>
                <w:b/>
                <w:bCs/>
                <w:lang w:val="sr-Latn-RS"/>
              </w:rPr>
              <w:t>Oblast</w:t>
            </w:r>
          </w:p>
        </w:tc>
        <w:tc>
          <w:tcPr>
            <w:tcW w:w="6300" w:type="dxa"/>
            <w:tcBorders>
              <w:bottom w:val="single" w:sz="12" w:space="0" w:color="8EAADB"/>
            </w:tcBorders>
            <w:vAlign w:val="center"/>
          </w:tcPr>
          <w:p w14:paraId="3A5D10CE" w14:textId="77777777" w:rsidR="00DA1C43" w:rsidRPr="00293455" w:rsidRDefault="00DA1C43" w:rsidP="009C1B20">
            <w:pPr>
              <w:rPr>
                <w:b/>
                <w:bCs/>
                <w:lang w:val="sr-Latn-RS"/>
              </w:rPr>
            </w:pPr>
            <w:r w:rsidRPr="00293455">
              <w:rPr>
                <w:b/>
                <w:bCs/>
                <w:lang w:val="sr-Latn-RS"/>
              </w:rPr>
              <w:t>Kriterijumi</w:t>
            </w:r>
          </w:p>
        </w:tc>
        <w:tc>
          <w:tcPr>
            <w:tcW w:w="1350" w:type="dxa"/>
            <w:tcBorders>
              <w:bottom w:val="single" w:sz="12" w:space="0" w:color="8EAADB"/>
            </w:tcBorders>
            <w:vAlign w:val="center"/>
          </w:tcPr>
          <w:p w14:paraId="1F5A7EA3" w14:textId="77777777" w:rsidR="00DA1C43" w:rsidRPr="00293455" w:rsidRDefault="00DA1C43" w:rsidP="009C1B20">
            <w:pPr>
              <w:jc w:val="center"/>
              <w:rPr>
                <w:b/>
                <w:bCs/>
                <w:lang w:val="sr-Latn-RS"/>
              </w:rPr>
            </w:pPr>
            <w:r w:rsidRPr="00293455">
              <w:rPr>
                <w:b/>
                <w:bCs/>
                <w:lang w:val="sr-Latn-RS"/>
              </w:rPr>
              <w:t>Maksimalni broj bodova</w:t>
            </w:r>
          </w:p>
        </w:tc>
      </w:tr>
      <w:tr w:rsidR="00DA1C43" w:rsidRPr="00293455" w14:paraId="27C36A7A" w14:textId="77777777" w:rsidTr="00294D24">
        <w:trPr>
          <w:cantSplit/>
          <w:trHeight w:val="756"/>
        </w:trPr>
        <w:tc>
          <w:tcPr>
            <w:tcW w:w="1597" w:type="dxa"/>
            <w:vMerge w:val="restart"/>
            <w:vAlign w:val="center"/>
          </w:tcPr>
          <w:p w14:paraId="6C09285B" w14:textId="77777777" w:rsidR="00DA1C43" w:rsidRPr="00293455" w:rsidRDefault="00DA1C43" w:rsidP="009C1B20">
            <w:pPr>
              <w:spacing w:after="0" w:line="240" w:lineRule="auto"/>
              <w:ind w:right="11"/>
              <w:rPr>
                <w:b/>
                <w:lang w:val="sr-Latn-RS"/>
              </w:rPr>
            </w:pPr>
            <w:r w:rsidRPr="00293455">
              <w:rPr>
                <w:b/>
                <w:lang w:val="sr-Latn-RS"/>
              </w:rPr>
              <w:t>Očekivani rezultati i efekti (50)</w:t>
            </w:r>
          </w:p>
        </w:tc>
        <w:tc>
          <w:tcPr>
            <w:tcW w:w="6300" w:type="dxa"/>
            <w:vMerge w:val="restart"/>
            <w:vAlign w:val="center"/>
          </w:tcPr>
          <w:p w14:paraId="365E13E2" w14:textId="77777777" w:rsidR="00DA1C43" w:rsidRPr="00293455" w:rsidRDefault="00DA1C43" w:rsidP="009C1B20">
            <w:pPr>
              <w:spacing w:after="0" w:line="240" w:lineRule="auto"/>
              <w:ind w:right="11"/>
              <w:rPr>
                <w:lang w:val="sr-Latn-RS"/>
              </w:rPr>
            </w:pPr>
            <w:r w:rsidRPr="00293455">
              <w:rPr>
                <w:b/>
                <w:lang w:val="sr-Latn-RS"/>
              </w:rPr>
              <w:t>Tržišni potencijal</w:t>
            </w:r>
          </w:p>
          <w:p w14:paraId="522DA36F" w14:textId="77777777" w:rsidR="00DA1C43" w:rsidRPr="00293455" w:rsidRDefault="00DA1C43" w:rsidP="008F03FD">
            <w:pPr>
              <w:numPr>
                <w:ilvl w:val="0"/>
                <w:numId w:val="14"/>
              </w:numPr>
              <w:spacing w:after="0" w:line="240" w:lineRule="auto"/>
              <w:ind w:right="11"/>
              <w:jc w:val="both"/>
              <w:rPr>
                <w:lang w:val="sr-Latn-RS"/>
              </w:rPr>
            </w:pPr>
            <w:r w:rsidRPr="00293455">
              <w:rPr>
                <w:lang w:val="sr-Latn-RS"/>
              </w:rPr>
              <w:t xml:space="preserve">Proširenje tržišta – Dokazani tržišni potencijal na osnovu analize tržišta i povećanja poslovnih prihoda </w:t>
            </w:r>
          </w:p>
          <w:p w14:paraId="3BE3CD77" w14:textId="338DAED9" w:rsidR="00DA1C43" w:rsidRPr="00293455" w:rsidRDefault="006F5437" w:rsidP="008F03FD">
            <w:pPr>
              <w:numPr>
                <w:ilvl w:val="0"/>
                <w:numId w:val="14"/>
              </w:numPr>
              <w:spacing w:after="0" w:line="240" w:lineRule="auto"/>
              <w:ind w:right="11"/>
              <w:jc w:val="both"/>
              <w:rPr>
                <w:lang w:val="sr-Latn-RS"/>
              </w:rPr>
            </w:pPr>
            <w:r w:rsidRPr="00293455">
              <w:rPr>
                <w:lang w:val="sr-Latn-RS"/>
              </w:rPr>
              <w:t>Usmerenost na izvoz</w:t>
            </w:r>
            <w:r w:rsidR="00DA1C43" w:rsidRPr="00293455">
              <w:rPr>
                <w:lang w:val="sr-Latn-RS"/>
              </w:rPr>
              <w:t xml:space="preserve"> biće nagrađena dodatnim bodovima</w:t>
            </w:r>
          </w:p>
        </w:tc>
        <w:tc>
          <w:tcPr>
            <w:tcW w:w="1350" w:type="dxa"/>
            <w:vMerge w:val="restart"/>
            <w:vAlign w:val="center"/>
          </w:tcPr>
          <w:p w14:paraId="2D4E168A" w14:textId="77777777" w:rsidR="00DA1C43" w:rsidRPr="00293455" w:rsidRDefault="00DA1C43" w:rsidP="009C1B20">
            <w:pPr>
              <w:jc w:val="center"/>
              <w:rPr>
                <w:b/>
                <w:lang w:val="sr-Latn-RS"/>
              </w:rPr>
            </w:pPr>
            <w:r w:rsidRPr="00293455">
              <w:rPr>
                <w:b/>
                <w:lang w:val="sr-Latn-RS"/>
              </w:rPr>
              <w:t>10</w:t>
            </w:r>
          </w:p>
        </w:tc>
      </w:tr>
      <w:tr w:rsidR="00DA1C43" w:rsidRPr="00293455" w14:paraId="54E71D90" w14:textId="77777777" w:rsidTr="00294D24">
        <w:trPr>
          <w:cantSplit/>
          <w:trHeight w:val="314"/>
        </w:trPr>
        <w:tc>
          <w:tcPr>
            <w:tcW w:w="1597" w:type="dxa"/>
            <w:vMerge/>
            <w:vAlign w:val="center"/>
          </w:tcPr>
          <w:p w14:paraId="0ED88298" w14:textId="77777777" w:rsidR="00DA1C43" w:rsidRPr="00293455" w:rsidRDefault="00DA1C43" w:rsidP="009C1B20">
            <w:pPr>
              <w:spacing w:after="0" w:line="240" w:lineRule="auto"/>
              <w:ind w:right="11"/>
              <w:rPr>
                <w:b/>
                <w:lang w:val="sr-Latn-RS"/>
              </w:rPr>
            </w:pPr>
          </w:p>
        </w:tc>
        <w:tc>
          <w:tcPr>
            <w:tcW w:w="6300" w:type="dxa"/>
            <w:vMerge/>
            <w:vAlign w:val="center"/>
          </w:tcPr>
          <w:p w14:paraId="2316C482" w14:textId="77777777" w:rsidR="00DA1C43" w:rsidRPr="00293455" w:rsidRDefault="00DA1C43" w:rsidP="009C1B20">
            <w:pPr>
              <w:spacing w:after="0" w:line="240" w:lineRule="auto"/>
              <w:ind w:right="11"/>
              <w:rPr>
                <w:b/>
                <w:lang w:val="sr-Latn-RS"/>
              </w:rPr>
            </w:pPr>
          </w:p>
        </w:tc>
        <w:tc>
          <w:tcPr>
            <w:tcW w:w="1350" w:type="dxa"/>
            <w:vMerge/>
            <w:vAlign w:val="center"/>
          </w:tcPr>
          <w:p w14:paraId="3B7D670C" w14:textId="77777777" w:rsidR="00DA1C43" w:rsidRPr="00293455" w:rsidRDefault="00DA1C43" w:rsidP="009C1B20">
            <w:pPr>
              <w:jc w:val="center"/>
              <w:rPr>
                <w:b/>
                <w:lang w:val="sr-Latn-RS"/>
              </w:rPr>
            </w:pPr>
          </w:p>
        </w:tc>
      </w:tr>
      <w:tr w:rsidR="00DA1C43" w:rsidRPr="00293455" w14:paraId="26F079D2" w14:textId="77777777" w:rsidTr="00294D24">
        <w:trPr>
          <w:cantSplit/>
          <w:trHeight w:val="2708"/>
        </w:trPr>
        <w:tc>
          <w:tcPr>
            <w:tcW w:w="1597" w:type="dxa"/>
            <w:vMerge/>
            <w:vAlign w:val="center"/>
          </w:tcPr>
          <w:p w14:paraId="4165EDDC" w14:textId="77777777" w:rsidR="00DA1C43" w:rsidRPr="00293455" w:rsidRDefault="00DA1C43" w:rsidP="009C1B20">
            <w:pPr>
              <w:spacing w:after="0" w:line="240" w:lineRule="auto"/>
              <w:ind w:right="11"/>
              <w:rPr>
                <w:b/>
                <w:lang w:val="sr-Latn-RS"/>
              </w:rPr>
            </w:pPr>
          </w:p>
        </w:tc>
        <w:tc>
          <w:tcPr>
            <w:tcW w:w="6300" w:type="dxa"/>
            <w:vAlign w:val="center"/>
          </w:tcPr>
          <w:p w14:paraId="7E62F4DF" w14:textId="77777777" w:rsidR="00DA1C43" w:rsidRPr="00293455" w:rsidRDefault="00DA1C43" w:rsidP="009C1B20">
            <w:pPr>
              <w:spacing w:after="0" w:line="240" w:lineRule="auto"/>
              <w:ind w:right="11"/>
              <w:rPr>
                <w:b/>
                <w:lang w:val="sr-Latn-RS"/>
              </w:rPr>
            </w:pPr>
            <w:r w:rsidRPr="00293455">
              <w:rPr>
                <w:b/>
                <w:lang w:val="sr-Latn-RS"/>
              </w:rPr>
              <w:t>Doprinos lancu vrednosti</w:t>
            </w:r>
          </w:p>
          <w:p w14:paraId="35591B0E" w14:textId="77777777" w:rsidR="00DA1C43" w:rsidRPr="00293455" w:rsidRDefault="00DA1C43" w:rsidP="009C1B20">
            <w:pPr>
              <w:spacing w:after="0" w:line="240" w:lineRule="auto"/>
              <w:ind w:right="11"/>
              <w:rPr>
                <w:lang w:val="sr-Latn-RS"/>
              </w:rPr>
            </w:pPr>
            <w:r w:rsidRPr="00293455">
              <w:rPr>
                <w:lang w:val="sr-Latn-RS"/>
              </w:rPr>
              <w:t>Doprinos lancu vrednosti procenjivaće se putem nekoliko faktora:</w:t>
            </w:r>
          </w:p>
          <w:p w14:paraId="366FAE4B" w14:textId="77777777" w:rsidR="00DA1C43" w:rsidRPr="00293455" w:rsidRDefault="00DA1C43" w:rsidP="008F03FD">
            <w:pPr>
              <w:numPr>
                <w:ilvl w:val="0"/>
                <w:numId w:val="14"/>
              </w:numPr>
              <w:spacing w:after="0" w:line="240" w:lineRule="auto"/>
              <w:ind w:right="11"/>
              <w:rPr>
                <w:lang w:val="sr-Latn-RS"/>
              </w:rPr>
            </w:pPr>
            <w:r w:rsidRPr="00293455">
              <w:rPr>
                <w:lang w:val="sr-Latn-RS"/>
              </w:rPr>
              <w:t>Projektovana vrednost doprinosa lancu vrednosti u prvoj godini nakon investicije</w:t>
            </w:r>
          </w:p>
          <w:p w14:paraId="757E54A6" w14:textId="77777777" w:rsidR="00DA1C43" w:rsidRPr="00293455" w:rsidRDefault="00DA1C43" w:rsidP="008F03FD">
            <w:pPr>
              <w:numPr>
                <w:ilvl w:val="0"/>
                <w:numId w:val="14"/>
              </w:numPr>
              <w:spacing w:after="0" w:line="240" w:lineRule="auto"/>
              <w:ind w:right="11"/>
              <w:rPr>
                <w:lang w:val="sr-Latn-RS"/>
              </w:rPr>
            </w:pPr>
            <w:r w:rsidRPr="00293455">
              <w:rPr>
                <w:lang w:val="sr-Latn-RS"/>
              </w:rPr>
              <w:t>Pozicija u okviru lanca vrednosti</w:t>
            </w:r>
          </w:p>
          <w:p w14:paraId="0A82699B" w14:textId="182BA8C0" w:rsidR="00DA1C43" w:rsidRPr="00293455" w:rsidRDefault="00DA1C43" w:rsidP="008F03FD">
            <w:pPr>
              <w:numPr>
                <w:ilvl w:val="0"/>
                <w:numId w:val="14"/>
              </w:numPr>
              <w:spacing w:after="0" w:line="240" w:lineRule="auto"/>
              <w:ind w:right="11"/>
              <w:rPr>
                <w:lang w:val="sr-Latn-RS"/>
              </w:rPr>
            </w:pPr>
            <w:r w:rsidRPr="00293455">
              <w:rPr>
                <w:lang w:val="sr-Latn-RS"/>
              </w:rPr>
              <w:t xml:space="preserve">Uspostavljanje saradnje između kandidata i većih </w:t>
            </w:r>
            <w:r w:rsidR="00FD6C58" w:rsidRPr="00293455">
              <w:rPr>
                <w:lang w:val="sr-Latn-RS"/>
              </w:rPr>
              <w:t xml:space="preserve">privrednih </w:t>
            </w:r>
            <w:r w:rsidRPr="00293455">
              <w:rPr>
                <w:lang w:val="sr-Latn-RS"/>
              </w:rPr>
              <w:t>društava i investitora</w:t>
            </w:r>
          </w:p>
          <w:p w14:paraId="481A182E" w14:textId="43990408" w:rsidR="00DA1C43" w:rsidRPr="00293455" w:rsidRDefault="00DA1C43" w:rsidP="00370B4A">
            <w:pPr>
              <w:numPr>
                <w:ilvl w:val="0"/>
                <w:numId w:val="14"/>
              </w:numPr>
              <w:spacing w:after="0" w:line="240" w:lineRule="auto"/>
              <w:ind w:right="11"/>
              <w:rPr>
                <w:lang w:val="sr-Latn-RS"/>
              </w:rPr>
            </w:pPr>
            <w:r w:rsidRPr="00293455">
              <w:rPr>
                <w:lang w:val="sr-Latn-RS"/>
              </w:rPr>
              <w:t xml:space="preserve">Procenat </w:t>
            </w:r>
            <w:r w:rsidR="00370B4A" w:rsidRPr="00293455">
              <w:rPr>
                <w:lang w:val="sr-Latn-RS"/>
              </w:rPr>
              <w:t xml:space="preserve">korišćennja sirovina </w:t>
            </w:r>
            <w:r w:rsidRPr="00293455">
              <w:rPr>
                <w:lang w:val="sr-Latn-RS"/>
              </w:rPr>
              <w:t>iz domaće proizvodnje</w:t>
            </w:r>
          </w:p>
        </w:tc>
        <w:tc>
          <w:tcPr>
            <w:tcW w:w="1350" w:type="dxa"/>
            <w:vAlign w:val="center"/>
          </w:tcPr>
          <w:p w14:paraId="2C1E7162" w14:textId="77777777" w:rsidR="00DA1C43" w:rsidRPr="00293455" w:rsidRDefault="00DA1C43" w:rsidP="009C1B20">
            <w:pPr>
              <w:jc w:val="center"/>
              <w:rPr>
                <w:b/>
                <w:lang w:val="sr-Latn-RS"/>
              </w:rPr>
            </w:pPr>
            <w:r w:rsidRPr="00293455">
              <w:rPr>
                <w:b/>
                <w:lang w:val="sr-Latn-RS"/>
              </w:rPr>
              <w:t>15</w:t>
            </w:r>
          </w:p>
        </w:tc>
      </w:tr>
      <w:tr w:rsidR="00DA1C43" w:rsidRPr="00293455" w14:paraId="7011AB31" w14:textId="77777777" w:rsidTr="00294D24">
        <w:trPr>
          <w:cantSplit/>
          <w:trHeight w:val="503"/>
        </w:trPr>
        <w:tc>
          <w:tcPr>
            <w:tcW w:w="1597" w:type="dxa"/>
            <w:vMerge/>
            <w:vAlign w:val="center"/>
          </w:tcPr>
          <w:p w14:paraId="727E301F" w14:textId="77777777" w:rsidR="00DA1C43" w:rsidRPr="00293455" w:rsidRDefault="00DA1C43" w:rsidP="009C1B20">
            <w:pPr>
              <w:spacing w:after="0" w:line="240" w:lineRule="auto"/>
              <w:ind w:right="11"/>
              <w:rPr>
                <w:b/>
                <w:lang w:val="sr-Latn-RS"/>
              </w:rPr>
            </w:pPr>
          </w:p>
        </w:tc>
        <w:tc>
          <w:tcPr>
            <w:tcW w:w="6300" w:type="dxa"/>
            <w:vAlign w:val="center"/>
          </w:tcPr>
          <w:p w14:paraId="6E09165C" w14:textId="77777777" w:rsidR="00DA1C43" w:rsidRPr="00293455" w:rsidRDefault="00DA1C43" w:rsidP="009C1B20">
            <w:pPr>
              <w:spacing w:after="0" w:line="240" w:lineRule="auto"/>
              <w:ind w:right="11"/>
              <w:rPr>
                <w:b/>
                <w:lang w:val="sr-Latn-RS"/>
              </w:rPr>
            </w:pPr>
            <w:r w:rsidRPr="00293455">
              <w:rPr>
                <w:b/>
                <w:lang w:val="sr-Latn-RS"/>
              </w:rPr>
              <w:t xml:space="preserve">Povećana efikasnost </w:t>
            </w:r>
          </w:p>
          <w:p w14:paraId="6DABC66C" w14:textId="77777777" w:rsidR="00DA1C43" w:rsidRPr="00293455" w:rsidRDefault="00DA1C43" w:rsidP="009C1B20">
            <w:pPr>
              <w:spacing w:after="0" w:line="240" w:lineRule="auto"/>
              <w:ind w:right="11"/>
              <w:rPr>
                <w:lang w:val="sr-Latn-RS"/>
              </w:rPr>
            </w:pPr>
            <w:r w:rsidRPr="00293455">
              <w:rPr>
                <w:lang w:val="sr-Latn-RS"/>
              </w:rPr>
              <w:t xml:space="preserve">Projekti koji doprinose povećanoj efikasnosti biće nagrađeni dodatnim bodovima. Efikasnost će se procenjivati na osnovu izlaza i ulaza za proizvodnju i odnosa između dokazano smanjenih troškova proizvodnje (u %). </w:t>
            </w:r>
          </w:p>
        </w:tc>
        <w:tc>
          <w:tcPr>
            <w:tcW w:w="1350" w:type="dxa"/>
            <w:vAlign w:val="center"/>
          </w:tcPr>
          <w:p w14:paraId="71E818F0" w14:textId="77777777" w:rsidR="00DA1C43" w:rsidRPr="00293455" w:rsidRDefault="00DA1C43" w:rsidP="009C1B20">
            <w:pPr>
              <w:jc w:val="center"/>
              <w:rPr>
                <w:b/>
                <w:lang w:val="sr-Latn-RS"/>
              </w:rPr>
            </w:pPr>
            <w:r w:rsidRPr="00293455">
              <w:rPr>
                <w:b/>
                <w:lang w:val="sr-Latn-RS"/>
              </w:rPr>
              <w:t>10</w:t>
            </w:r>
          </w:p>
        </w:tc>
      </w:tr>
      <w:tr w:rsidR="00DA1C43" w:rsidRPr="00293455" w14:paraId="5655B349" w14:textId="77777777" w:rsidTr="00294D24">
        <w:trPr>
          <w:cantSplit/>
          <w:trHeight w:val="897"/>
        </w:trPr>
        <w:tc>
          <w:tcPr>
            <w:tcW w:w="1597" w:type="dxa"/>
            <w:vMerge/>
            <w:vAlign w:val="center"/>
          </w:tcPr>
          <w:p w14:paraId="70E16851" w14:textId="77777777" w:rsidR="00DA1C43" w:rsidRPr="00293455" w:rsidRDefault="00DA1C43" w:rsidP="009C1B20">
            <w:pPr>
              <w:spacing w:after="0" w:line="240" w:lineRule="auto"/>
              <w:ind w:right="11"/>
              <w:rPr>
                <w:b/>
                <w:lang w:val="sr-Latn-RS"/>
              </w:rPr>
            </w:pPr>
          </w:p>
        </w:tc>
        <w:tc>
          <w:tcPr>
            <w:tcW w:w="6300" w:type="dxa"/>
            <w:vAlign w:val="center"/>
          </w:tcPr>
          <w:p w14:paraId="126BCC76" w14:textId="77777777" w:rsidR="00DA1C43" w:rsidRPr="00293455" w:rsidRDefault="00DA1C43" w:rsidP="009C1B20">
            <w:pPr>
              <w:spacing w:after="0" w:line="240" w:lineRule="auto"/>
              <w:ind w:right="11"/>
              <w:rPr>
                <w:b/>
                <w:lang w:val="sr-Latn-RS"/>
              </w:rPr>
            </w:pPr>
            <w:r w:rsidRPr="00293455">
              <w:rPr>
                <w:b/>
                <w:lang w:val="sr-Latn-RS"/>
              </w:rPr>
              <w:t>Otvaranje novih radnih mesta</w:t>
            </w:r>
          </w:p>
          <w:p w14:paraId="4C8F8709" w14:textId="71513B2C" w:rsidR="00DA1C43" w:rsidRPr="00293455" w:rsidRDefault="00DA1C43" w:rsidP="009C1B20">
            <w:pPr>
              <w:spacing w:after="0" w:line="240" w:lineRule="auto"/>
              <w:ind w:right="11"/>
              <w:rPr>
                <w:lang w:val="sr-Latn-RS"/>
              </w:rPr>
            </w:pPr>
            <w:r w:rsidRPr="00293455">
              <w:rPr>
                <w:lang w:val="sr-Latn-RS"/>
              </w:rPr>
              <w:t xml:space="preserve">Obavezno je </w:t>
            </w:r>
            <w:r w:rsidR="00BD7C28" w:rsidRPr="00293455">
              <w:rPr>
                <w:lang w:val="sr-Latn-RS"/>
              </w:rPr>
              <w:t xml:space="preserve">najmanje </w:t>
            </w:r>
            <w:r w:rsidRPr="00293455">
              <w:rPr>
                <w:lang w:val="sr-Latn-RS"/>
              </w:rPr>
              <w:t>jedno novo radno mesto za preduzetnika ili mikro preduzeće i dva nova radna mesta za malo preduzeće. Projekti koji stvaraju dodatne poslove biće nagrađeni dodatnim bodovima. Isto tako, projekti sa dugoročnijim uticajem na zapošljavanje biće nagrađeni dodatnim bodovima.</w:t>
            </w:r>
          </w:p>
        </w:tc>
        <w:tc>
          <w:tcPr>
            <w:tcW w:w="1350" w:type="dxa"/>
            <w:vAlign w:val="center"/>
          </w:tcPr>
          <w:p w14:paraId="393C38A4" w14:textId="77777777" w:rsidR="00DA1C43" w:rsidRPr="00293455" w:rsidRDefault="00DA1C43" w:rsidP="009C1B20">
            <w:pPr>
              <w:jc w:val="center"/>
              <w:rPr>
                <w:b/>
                <w:lang w:val="sr-Latn-RS"/>
              </w:rPr>
            </w:pPr>
            <w:r w:rsidRPr="00293455">
              <w:rPr>
                <w:b/>
                <w:lang w:val="sr-Latn-RS"/>
              </w:rPr>
              <w:t>10</w:t>
            </w:r>
          </w:p>
        </w:tc>
      </w:tr>
      <w:tr w:rsidR="00DA1C43" w:rsidRPr="00293455" w14:paraId="4A93ECCB" w14:textId="77777777" w:rsidTr="00294D24">
        <w:trPr>
          <w:cantSplit/>
          <w:trHeight w:val="897"/>
        </w:trPr>
        <w:tc>
          <w:tcPr>
            <w:tcW w:w="1597" w:type="dxa"/>
            <w:vMerge/>
            <w:vAlign w:val="center"/>
          </w:tcPr>
          <w:p w14:paraId="30CBCAD7" w14:textId="77777777" w:rsidR="00DA1C43" w:rsidRPr="00293455" w:rsidRDefault="00DA1C43" w:rsidP="009C1B20">
            <w:pPr>
              <w:spacing w:after="0" w:line="240" w:lineRule="auto"/>
              <w:ind w:right="11"/>
              <w:rPr>
                <w:b/>
                <w:lang w:val="sr-Latn-RS"/>
              </w:rPr>
            </w:pPr>
          </w:p>
        </w:tc>
        <w:tc>
          <w:tcPr>
            <w:tcW w:w="6300" w:type="dxa"/>
            <w:vAlign w:val="center"/>
          </w:tcPr>
          <w:p w14:paraId="15317359" w14:textId="77777777" w:rsidR="00DA1C43" w:rsidRPr="00293455" w:rsidRDefault="00DA1C43" w:rsidP="009C1B20">
            <w:pPr>
              <w:spacing w:after="0" w:line="240" w:lineRule="auto"/>
              <w:ind w:right="11"/>
              <w:rPr>
                <w:b/>
                <w:lang w:val="sr-Latn-RS"/>
              </w:rPr>
            </w:pPr>
            <w:r w:rsidRPr="00293455">
              <w:rPr>
                <w:b/>
                <w:lang w:val="sr-Latn-RS"/>
              </w:rPr>
              <w:t>Inovacije</w:t>
            </w:r>
          </w:p>
          <w:p w14:paraId="2522DD9F" w14:textId="77777777" w:rsidR="00DA1C43" w:rsidRPr="00293455" w:rsidRDefault="00DA1C43" w:rsidP="009C1B20">
            <w:pPr>
              <w:spacing w:after="0" w:line="240" w:lineRule="auto"/>
              <w:ind w:right="11"/>
              <w:rPr>
                <w:lang w:val="sr-Latn-RS"/>
              </w:rPr>
            </w:pPr>
            <w:r w:rsidRPr="00293455">
              <w:rPr>
                <w:lang w:val="sr-Latn-RS"/>
              </w:rPr>
              <w:t>Projekti sa komponentom inovacije biće nagrađeni dodatnim bodovima. Inovacije će se procenjivati putem sledećih faktora:</w:t>
            </w:r>
          </w:p>
          <w:p w14:paraId="459CF0C2" w14:textId="77777777" w:rsidR="00DA1C43" w:rsidRPr="00293455" w:rsidRDefault="00DA1C43" w:rsidP="008F03FD">
            <w:pPr>
              <w:numPr>
                <w:ilvl w:val="0"/>
                <w:numId w:val="17"/>
              </w:numPr>
              <w:spacing w:after="0" w:line="240" w:lineRule="auto"/>
              <w:ind w:right="11"/>
              <w:rPr>
                <w:lang w:val="sr-Latn-RS"/>
              </w:rPr>
            </w:pPr>
            <w:r w:rsidRPr="00293455">
              <w:rPr>
                <w:lang w:val="sr-Latn-RS"/>
              </w:rPr>
              <w:t>Predlog podrazumeva uvođenje ICT tehnologije</w:t>
            </w:r>
          </w:p>
          <w:p w14:paraId="30CD0DB5" w14:textId="0C0492B3" w:rsidR="00DA1C43" w:rsidRPr="00293455" w:rsidRDefault="00DA1C43" w:rsidP="008F03FD">
            <w:pPr>
              <w:numPr>
                <w:ilvl w:val="0"/>
                <w:numId w:val="17"/>
              </w:numPr>
              <w:spacing w:after="0" w:line="240" w:lineRule="auto"/>
              <w:ind w:right="11"/>
              <w:rPr>
                <w:lang w:val="sr-Latn-RS"/>
              </w:rPr>
            </w:pPr>
            <w:r w:rsidRPr="00293455">
              <w:rPr>
                <w:lang w:val="sr-Latn-RS"/>
              </w:rPr>
              <w:t>Predlog predviđa u</w:t>
            </w:r>
            <w:r w:rsidR="008C6E3D" w:rsidRPr="00293455">
              <w:rPr>
                <w:lang w:val="sr-Latn-RS"/>
              </w:rPr>
              <w:t xml:space="preserve">napređenje proizvodnih procesa </w:t>
            </w:r>
          </w:p>
        </w:tc>
        <w:tc>
          <w:tcPr>
            <w:tcW w:w="1350" w:type="dxa"/>
            <w:vAlign w:val="center"/>
          </w:tcPr>
          <w:p w14:paraId="45939A51" w14:textId="77777777" w:rsidR="00DA1C43" w:rsidRPr="00293455" w:rsidRDefault="00DA1C43" w:rsidP="009C1B20">
            <w:pPr>
              <w:jc w:val="center"/>
              <w:rPr>
                <w:b/>
                <w:lang w:val="sr-Latn-RS"/>
              </w:rPr>
            </w:pPr>
            <w:r w:rsidRPr="00293455">
              <w:rPr>
                <w:b/>
                <w:lang w:val="sr-Latn-RS"/>
              </w:rPr>
              <w:t>5</w:t>
            </w:r>
          </w:p>
        </w:tc>
      </w:tr>
      <w:tr w:rsidR="00DA1C43" w:rsidRPr="00293455" w14:paraId="6D9FFEDC" w14:textId="77777777" w:rsidTr="00294D24">
        <w:trPr>
          <w:cantSplit/>
          <w:trHeight w:val="620"/>
        </w:trPr>
        <w:tc>
          <w:tcPr>
            <w:tcW w:w="1597" w:type="dxa"/>
            <w:vAlign w:val="center"/>
          </w:tcPr>
          <w:p w14:paraId="27EFF9A5" w14:textId="77777777" w:rsidR="00DA1C43" w:rsidRPr="00293455" w:rsidRDefault="00DA1C43" w:rsidP="009C1B20">
            <w:pPr>
              <w:spacing w:after="0" w:line="240" w:lineRule="auto"/>
              <w:ind w:right="11"/>
              <w:rPr>
                <w:b/>
                <w:lang w:val="sr-Latn-RS"/>
              </w:rPr>
            </w:pPr>
            <w:r w:rsidRPr="00293455">
              <w:rPr>
                <w:b/>
                <w:lang w:val="sr-Latn-RS"/>
              </w:rPr>
              <w:t>Održivost (10)</w:t>
            </w:r>
          </w:p>
        </w:tc>
        <w:tc>
          <w:tcPr>
            <w:tcW w:w="6300" w:type="dxa"/>
            <w:vAlign w:val="center"/>
          </w:tcPr>
          <w:p w14:paraId="3C48F6E0" w14:textId="77777777" w:rsidR="00DA1C43" w:rsidRPr="00293455" w:rsidRDefault="00DA1C43" w:rsidP="009C1B20">
            <w:pPr>
              <w:spacing w:after="0" w:line="240" w:lineRule="auto"/>
              <w:ind w:right="11"/>
              <w:rPr>
                <w:b/>
                <w:lang w:val="sr-Latn-RS"/>
              </w:rPr>
            </w:pPr>
            <w:r w:rsidRPr="00293455">
              <w:rPr>
                <w:b/>
                <w:lang w:val="sr-Latn-RS"/>
              </w:rPr>
              <w:t xml:space="preserve">Održivost </w:t>
            </w:r>
          </w:p>
          <w:p w14:paraId="5633B13C" w14:textId="5457F700" w:rsidR="00DA1C43" w:rsidRPr="00293455" w:rsidRDefault="00DA1C43" w:rsidP="009C1B20">
            <w:pPr>
              <w:spacing w:after="0" w:line="240" w:lineRule="auto"/>
              <w:ind w:right="11"/>
              <w:rPr>
                <w:lang w:val="sr-Latn-RS"/>
              </w:rPr>
            </w:pPr>
            <w:r w:rsidRPr="00293455">
              <w:rPr>
                <w:lang w:val="sr-Latn-RS"/>
              </w:rPr>
              <w:t>Održivost će se procenjivati na osnovu sposobnosti kandidata da koristi i održava opremu i da ostvari postavljene ciljeve u postprojektnom periodu. U obzir će se uzeti sledeći faktori:</w:t>
            </w:r>
          </w:p>
          <w:p w14:paraId="18233E0A" w14:textId="77777777" w:rsidR="00DA1C43" w:rsidRPr="00293455" w:rsidRDefault="00DA1C43" w:rsidP="008F03FD">
            <w:pPr>
              <w:pStyle w:val="ListParagraph"/>
              <w:numPr>
                <w:ilvl w:val="0"/>
                <w:numId w:val="39"/>
              </w:numPr>
              <w:spacing w:after="0" w:line="240" w:lineRule="auto"/>
              <w:ind w:left="360" w:right="11"/>
              <w:rPr>
                <w:lang w:val="sr-Latn-RS"/>
              </w:rPr>
            </w:pPr>
            <w:r w:rsidRPr="00293455">
              <w:rPr>
                <w:lang w:val="sr-Latn-RS"/>
              </w:rPr>
              <w:t>Da li će kandidat imati dovoljno tehničke stručnosti za održavanje opreme u operativnoj upotrebi?</w:t>
            </w:r>
          </w:p>
          <w:p w14:paraId="1B0FC70C" w14:textId="6FCD1131" w:rsidR="00DA1C43" w:rsidRPr="00293455" w:rsidRDefault="00DA1C43" w:rsidP="008F03FD">
            <w:pPr>
              <w:pStyle w:val="ListParagraph"/>
              <w:numPr>
                <w:ilvl w:val="0"/>
                <w:numId w:val="39"/>
              </w:numPr>
              <w:spacing w:after="0" w:line="240" w:lineRule="auto"/>
              <w:ind w:left="360" w:right="11"/>
              <w:rPr>
                <w:lang w:val="sr-Latn-RS"/>
              </w:rPr>
            </w:pPr>
            <w:r w:rsidRPr="00293455">
              <w:rPr>
                <w:lang w:val="sr-Latn-RS"/>
              </w:rPr>
              <w:t xml:space="preserve">Da li će kandidat imati dovoljno sredstava za održavanje opreme i pokrivanje ostalih troškova proisteklih iz njene upotrebe (npr. </w:t>
            </w:r>
            <w:r w:rsidR="009856B5" w:rsidRPr="00293455">
              <w:rPr>
                <w:lang w:val="sr-Latn-RS"/>
              </w:rPr>
              <w:t>O</w:t>
            </w:r>
            <w:r w:rsidRPr="00293455">
              <w:rPr>
                <w:lang w:val="sr-Latn-RS"/>
              </w:rPr>
              <w:t xml:space="preserve">državanje, popravke, testiranje, osiguranje, porez)? </w:t>
            </w:r>
          </w:p>
          <w:p w14:paraId="4753E0CA" w14:textId="652BB1B2" w:rsidR="00DA1C43" w:rsidRPr="00293455" w:rsidRDefault="00DA1C43" w:rsidP="008F03FD">
            <w:pPr>
              <w:pStyle w:val="ListParagraph"/>
              <w:numPr>
                <w:ilvl w:val="0"/>
                <w:numId w:val="39"/>
              </w:numPr>
              <w:spacing w:after="0" w:line="240" w:lineRule="auto"/>
              <w:ind w:left="360" w:right="11"/>
              <w:rPr>
                <w:b/>
                <w:lang w:val="sr-Latn-RS"/>
              </w:rPr>
            </w:pPr>
            <w:r w:rsidRPr="00293455">
              <w:rPr>
                <w:lang w:val="sr-Latn-RS"/>
              </w:rPr>
              <w:t xml:space="preserve">Kakav će biti uticaj na životnu sredinu (npr. </w:t>
            </w:r>
            <w:r w:rsidR="00D479D1">
              <w:rPr>
                <w:lang w:val="sr-Latn-RS"/>
              </w:rPr>
              <w:t>p</w:t>
            </w:r>
            <w:r w:rsidRPr="00293455">
              <w:rPr>
                <w:lang w:val="sr-Latn-RS"/>
              </w:rPr>
              <w:t>otrošnja energije, količine otpada, recikliranje)</w:t>
            </w:r>
            <w:r w:rsidRPr="00293455">
              <w:rPr>
                <w:vertAlign w:val="superscript"/>
                <w:lang w:val="sr-Latn-RS"/>
              </w:rPr>
              <w:footnoteReference w:id="30"/>
            </w:r>
          </w:p>
        </w:tc>
        <w:tc>
          <w:tcPr>
            <w:tcW w:w="1350" w:type="dxa"/>
            <w:vAlign w:val="center"/>
          </w:tcPr>
          <w:p w14:paraId="77E37F85" w14:textId="77777777" w:rsidR="00DA1C43" w:rsidRPr="00293455" w:rsidRDefault="00DA1C43" w:rsidP="009C1B20">
            <w:pPr>
              <w:jc w:val="center"/>
              <w:rPr>
                <w:b/>
                <w:lang w:val="sr-Latn-RS"/>
              </w:rPr>
            </w:pPr>
            <w:r w:rsidRPr="00293455">
              <w:rPr>
                <w:b/>
                <w:lang w:val="sr-Latn-RS"/>
              </w:rPr>
              <w:t>10</w:t>
            </w:r>
          </w:p>
        </w:tc>
      </w:tr>
      <w:tr w:rsidR="00DA1C43" w:rsidRPr="00293455" w14:paraId="738996F9" w14:textId="77777777" w:rsidTr="00294D24">
        <w:trPr>
          <w:cantSplit/>
          <w:trHeight w:val="2573"/>
        </w:trPr>
        <w:tc>
          <w:tcPr>
            <w:tcW w:w="1597" w:type="dxa"/>
            <w:vAlign w:val="center"/>
          </w:tcPr>
          <w:p w14:paraId="2E012D57" w14:textId="46545B56" w:rsidR="00DA1C43" w:rsidRPr="00293455" w:rsidRDefault="001679B0" w:rsidP="009C1B20">
            <w:pPr>
              <w:spacing w:after="0" w:line="240" w:lineRule="auto"/>
              <w:ind w:right="11"/>
              <w:rPr>
                <w:b/>
                <w:lang w:val="sr-Latn-RS"/>
              </w:rPr>
            </w:pPr>
            <w:r w:rsidRPr="00293455">
              <w:rPr>
                <w:b/>
                <w:lang w:val="sr-Latn-RS"/>
              </w:rPr>
              <w:t>Društveni</w:t>
            </w:r>
            <w:r w:rsidR="00DA1C43" w:rsidRPr="00293455">
              <w:rPr>
                <w:b/>
                <w:lang w:val="sr-Latn-RS"/>
              </w:rPr>
              <w:t xml:space="preserve"> uticaj</w:t>
            </w:r>
            <w:r w:rsidR="00DA1C43" w:rsidRPr="00293455">
              <w:rPr>
                <w:rStyle w:val="FootnoteReference"/>
                <w:b/>
                <w:vertAlign w:val="superscript"/>
                <w:lang w:val="sr-Latn-RS"/>
              </w:rPr>
              <w:footnoteReference w:id="31"/>
            </w:r>
            <w:r w:rsidR="00DA1C43" w:rsidRPr="00293455">
              <w:rPr>
                <w:b/>
                <w:lang w:val="sr-Latn-RS"/>
              </w:rPr>
              <w:t xml:space="preserve"> (30)</w:t>
            </w:r>
          </w:p>
        </w:tc>
        <w:tc>
          <w:tcPr>
            <w:tcW w:w="6300" w:type="dxa"/>
            <w:vAlign w:val="center"/>
          </w:tcPr>
          <w:p w14:paraId="7E354056" w14:textId="2F4ECAF1" w:rsidR="00DA1C43" w:rsidRPr="00293455" w:rsidRDefault="00DC06E5" w:rsidP="009C1B20">
            <w:pPr>
              <w:spacing w:after="0" w:line="240" w:lineRule="auto"/>
              <w:ind w:right="11"/>
              <w:jc w:val="both"/>
              <w:rPr>
                <w:b/>
                <w:lang w:val="sr-Latn-RS"/>
              </w:rPr>
            </w:pPr>
            <w:r w:rsidRPr="00293455">
              <w:rPr>
                <w:b/>
                <w:lang w:val="sr-Latn-RS"/>
              </w:rPr>
              <w:t>Društveni</w:t>
            </w:r>
            <w:r w:rsidR="00DA1C43" w:rsidRPr="00293455">
              <w:rPr>
                <w:b/>
                <w:lang w:val="sr-Latn-RS"/>
              </w:rPr>
              <w:t xml:space="preserve"> uticaj</w:t>
            </w:r>
          </w:p>
          <w:p w14:paraId="5BF22C5C" w14:textId="77777777" w:rsidR="00DA1C43" w:rsidRPr="00293455" w:rsidRDefault="00DA1C43" w:rsidP="008F03FD">
            <w:pPr>
              <w:pStyle w:val="ListParagraph"/>
              <w:numPr>
                <w:ilvl w:val="0"/>
                <w:numId w:val="40"/>
              </w:numPr>
              <w:spacing w:after="0" w:line="240" w:lineRule="auto"/>
              <w:ind w:right="11"/>
              <w:jc w:val="both"/>
              <w:rPr>
                <w:lang w:val="sr-Latn-RS"/>
              </w:rPr>
            </w:pPr>
            <w:r w:rsidRPr="00293455">
              <w:rPr>
                <w:lang w:val="sr-Latn-RS"/>
              </w:rPr>
              <w:t>Da li kandidat ima proizvodna postrojenja u ruralnoj oblasti?</w:t>
            </w:r>
          </w:p>
          <w:p w14:paraId="749CAED8" w14:textId="7596E33A" w:rsidR="00DA1C43" w:rsidRPr="00293455" w:rsidRDefault="00DA1C43" w:rsidP="008F03FD">
            <w:pPr>
              <w:pStyle w:val="ListParagraph"/>
              <w:numPr>
                <w:ilvl w:val="0"/>
                <w:numId w:val="40"/>
              </w:numPr>
              <w:spacing w:after="0" w:line="240" w:lineRule="auto"/>
              <w:ind w:right="11"/>
              <w:jc w:val="both"/>
              <w:rPr>
                <w:lang w:val="sr-Latn-RS"/>
              </w:rPr>
            </w:pPr>
            <w:r w:rsidRPr="00293455">
              <w:rPr>
                <w:lang w:val="sr-Latn-RS"/>
              </w:rPr>
              <w:t xml:space="preserve">Kategorija </w:t>
            </w:r>
            <w:r w:rsidR="004978E3" w:rsidRPr="00293455">
              <w:rPr>
                <w:lang w:val="sr-Latn-RS"/>
              </w:rPr>
              <w:t>razvijenosti lokalne samouprave</w:t>
            </w:r>
            <w:r w:rsidR="00A67EA3" w:rsidRPr="00293455">
              <w:rPr>
                <w:lang w:val="sr-Latn-RS"/>
              </w:rPr>
              <w:t xml:space="preserve"> </w:t>
            </w:r>
            <w:r w:rsidR="004978E3" w:rsidRPr="00293455">
              <w:rPr>
                <w:lang w:val="sr-Latn-RS"/>
              </w:rPr>
              <w:t xml:space="preserve">na teritoriji </w:t>
            </w:r>
            <w:r w:rsidRPr="00293455">
              <w:rPr>
                <w:lang w:val="sr-Latn-RS"/>
              </w:rPr>
              <w:t xml:space="preserve">gde je registrovana poslovna delatnost </w:t>
            </w:r>
          </w:p>
          <w:p w14:paraId="39EC841D" w14:textId="77777777" w:rsidR="00DA1C43" w:rsidRPr="00293455" w:rsidRDefault="00DA1C43" w:rsidP="008F03FD">
            <w:pPr>
              <w:pStyle w:val="ListParagraph"/>
              <w:numPr>
                <w:ilvl w:val="0"/>
                <w:numId w:val="40"/>
              </w:numPr>
              <w:spacing w:after="0" w:line="240" w:lineRule="auto"/>
              <w:ind w:right="11"/>
              <w:jc w:val="both"/>
              <w:rPr>
                <w:lang w:val="sr-Latn-RS"/>
              </w:rPr>
            </w:pPr>
            <w:r w:rsidRPr="00293455">
              <w:rPr>
                <w:lang w:val="sr-Latn-RS"/>
              </w:rPr>
              <w:t xml:space="preserve">Da li je vlasnik prijavljenog preduzeća žena ili mlada osoba? </w:t>
            </w:r>
          </w:p>
          <w:p w14:paraId="419518E3" w14:textId="77777777" w:rsidR="00DA1C43" w:rsidRPr="00293455" w:rsidRDefault="00DA1C43" w:rsidP="008F03FD">
            <w:pPr>
              <w:pStyle w:val="ListParagraph"/>
              <w:numPr>
                <w:ilvl w:val="0"/>
                <w:numId w:val="40"/>
              </w:numPr>
              <w:spacing w:after="0" w:line="240" w:lineRule="auto"/>
              <w:ind w:right="11"/>
              <w:jc w:val="both"/>
              <w:rPr>
                <w:lang w:val="sr-Latn-RS"/>
              </w:rPr>
            </w:pPr>
            <w:r w:rsidRPr="00293455">
              <w:rPr>
                <w:lang w:val="sr-Latn-RS"/>
              </w:rPr>
              <w:t>Da li predlog predviđa zapošljavanje ili druge beneficije za žene, mlade, osobe sa invaliditetom ili manjine?</w:t>
            </w:r>
          </w:p>
          <w:p w14:paraId="0FE899D4" w14:textId="0E4AC5A1" w:rsidR="00DA1C43" w:rsidRPr="00293455" w:rsidRDefault="00DA1C43" w:rsidP="008F03FD">
            <w:pPr>
              <w:pStyle w:val="ListParagraph"/>
              <w:numPr>
                <w:ilvl w:val="0"/>
                <w:numId w:val="40"/>
              </w:numPr>
              <w:spacing w:after="0" w:line="240" w:lineRule="auto"/>
              <w:ind w:right="11"/>
              <w:jc w:val="both"/>
              <w:rPr>
                <w:b/>
                <w:lang w:val="sr-Latn-RS"/>
              </w:rPr>
            </w:pPr>
            <w:r w:rsidRPr="00293455">
              <w:rPr>
                <w:lang w:val="sr-Latn-RS"/>
              </w:rPr>
              <w:t xml:space="preserve">Da li predlog obuhvata korporativne društveno odgovorne </w:t>
            </w:r>
            <w:bookmarkStart w:id="0" w:name="_GoBack"/>
            <w:bookmarkEnd w:id="0"/>
            <w:r w:rsidRPr="00293455">
              <w:rPr>
                <w:lang w:val="sr-Latn-RS"/>
              </w:rPr>
              <w:t xml:space="preserve">aktivnosti, tj. </w:t>
            </w:r>
            <w:r w:rsidR="009856B5" w:rsidRPr="00293455">
              <w:rPr>
                <w:lang w:val="sr-Latn-RS"/>
              </w:rPr>
              <w:t>M</w:t>
            </w:r>
            <w:r w:rsidRPr="00293455">
              <w:rPr>
                <w:lang w:val="sr-Latn-RS"/>
              </w:rPr>
              <w:t xml:space="preserve">ere koje pozitivno utiču na lokalne zajednice? </w:t>
            </w:r>
          </w:p>
        </w:tc>
        <w:tc>
          <w:tcPr>
            <w:tcW w:w="1350" w:type="dxa"/>
            <w:vAlign w:val="center"/>
          </w:tcPr>
          <w:p w14:paraId="696219ED" w14:textId="77777777" w:rsidR="00DA1C43" w:rsidRPr="00293455" w:rsidRDefault="00DA1C43" w:rsidP="009C1B20">
            <w:pPr>
              <w:jc w:val="center"/>
              <w:rPr>
                <w:b/>
                <w:lang w:val="sr-Latn-RS"/>
              </w:rPr>
            </w:pPr>
            <w:r w:rsidRPr="00293455">
              <w:rPr>
                <w:b/>
                <w:lang w:val="sr-Latn-RS"/>
              </w:rPr>
              <w:t>30</w:t>
            </w:r>
          </w:p>
        </w:tc>
      </w:tr>
      <w:tr w:rsidR="00DA1C43" w:rsidRPr="00293455" w14:paraId="604CDF8A" w14:textId="77777777" w:rsidTr="00294D24">
        <w:trPr>
          <w:cantSplit/>
          <w:trHeight w:val="897"/>
        </w:trPr>
        <w:tc>
          <w:tcPr>
            <w:tcW w:w="1597" w:type="dxa"/>
            <w:vMerge w:val="restart"/>
            <w:vAlign w:val="center"/>
          </w:tcPr>
          <w:p w14:paraId="0071D4A8" w14:textId="77777777" w:rsidR="00DA1C43" w:rsidRPr="00293455" w:rsidRDefault="00DA1C43" w:rsidP="009C1B20">
            <w:pPr>
              <w:spacing w:after="0" w:line="240" w:lineRule="auto"/>
              <w:ind w:right="11"/>
              <w:rPr>
                <w:b/>
                <w:lang w:val="sr-Latn-RS"/>
              </w:rPr>
            </w:pPr>
            <w:r w:rsidRPr="00293455">
              <w:rPr>
                <w:b/>
                <w:lang w:val="sr-Latn-RS"/>
              </w:rPr>
              <w:lastRenderedPageBreak/>
              <w:t>Troškovi (10)</w:t>
            </w:r>
          </w:p>
        </w:tc>
        <w:tc>
          <w:tcPr>
            <w:tcW w:w="6300" w:type="dxa"/>
            <w:vAlign w:val="center"/>
          </w:tcPr>
          <w:p w14:paraId="29F7F0CC" w14:textId="77777777" w:rsidR="00DA1C43" w:rsidRPr="00293455" w:rsidRDefault="00DA1C43" w:rsidP="009C1B20">
            <w:pPr>
              <w:spacing w:after="0" w:line="240" w:lineRule="auto"/>
              <w:ind w:right="11"/>
              <w:rPr>
                <w:b/>
                <w:lang w:val="sr-Latn-RS"/>
              </w:rPr>
            </w:pPr>
            <w:r w:rsidRPr="00293455">
              <w:rPr>
                <w:b/>
                <w:lang w:val="sr-Latn-RS"/>
              </w:rPr>
              <w:t xml:space="preserve">Isplativost </w:t>
            </w:r>
          </w:p>
          <w:p w14:paraId="27DD8BB1" w14:textId="7A5F86AF" w:rsidR="00DA1C43" w:rsidRPr="00293455" w:rsidRDefault="00DA1C43" w:rsidP="000B1C2F">
            <w:pPr>
              <w:spacing w:after="0" w:line="240" w:lineRule="auto"/>
              <w:ind w:right="11"/>
              <w:rPr>
                <w:lang w:val="sr-Latn-RS"/>
              </w:rPr>
            </w:pPr>
            <w:r w:rsidRPr="00293455">
              <w:rPr>
                <w:lang w:val="sr-Latn-RS"/>
              </w:rPr>
              <w:t xml:space="preserve">Procena isplativosti uzeće u obzir koristi proistekle iz aktivnosti u poređenju sa predviđenim budžetom. Preciznije govoreći, procena će obuhvatiti odnos između EU PRO investicije i broja novootvorenih radnih mesta. </w:t>
            </w:r>
          </w:p>
        </w:tc>
        <w:tc>
          <w:tcPr>
            <w:tcW w:w="1350" w:type="dxa"/>
            <w:vAlign w:val="center"/>
          </w:tcPr>
          <w:p w14:paraId="7944D283" w14:textId="77777777" w:rsidR="00DA1C43" w:rsidRPr="00293455" w:rsidRDefault="00DA1C43" w:rsidP="009C1B20">
            <w:pPr>
              <w:jc w:val="center"/>
              <w:rPr>
                <w:b/>
                <w:lang w:val="sr-Latn-RS"/>
              </w:rPr>
            </w:pPr>
            <w:r w:rsidRPr="00293455">
              <w:rPr>
                <w:b/>
                <w:lang w:val="sr-Latn-RS"/>
              </w:rPr>
              <w:t>5</w:t>
            </w:r>
          </w:p>
        </w:tc>
      </w:tr>
      <w:tr w:rsidR="00DA1C43" w:rsidRPr="00293455" w14:paraId="18DDEB98" w14:textId="77777777" w:rsidTr="00294D24">
        <w:trPr>
          <w:cantSplit/>
          <w:trHeight w:val="1169"/>
        </w:trPr>
        <w:tc>
          <w:tcPr>
            <w:tcW w:w="1597" w:type="dxa"/>
            <w:vMerge/>
            <w:vAlign w:val="center"/>
          </w:tcPr>
          <w:p w14:paraId="0028A19B" w14:textId="77777777" w:rsidR="00DA1C43" w:rsidRPr="00293455" w:rsidRDefault="00DA1C43" w:rsidP="009C1B20">
            <w:pPr>
              <w:spacing w:after="0" w:line="240" w:lineRule="auto"/>
              <w:ind w:right="11"/>
              <w:rPr>
                <w:b/>
                <w:lang w:val="sr-Latn-RS"/>
              </w:rPr>
            </w:pPr>
          </w:p>
        </w:tc>
        <w:tc>
          <w:tcPr>
            <w:tcW w:w="6300" w:type="dxa"/>
            <w:vAlign w:val="center"/>
          </w:tcPr>
          <w:p w14:paraId="31CC5D13" w14:textId="77777777" w:rsidR="00DA1C43" w:rsidRPr="00293455" w:rsidRDefault="00DA1C43" w:rsidP="009C1B20">
            <w:pPr>
              <w:spacing w:after="0" w:line="240" w:lineRule="auto"/>
              <w:ind w:right="11"/>
              <w:rPr>
                <w:b/>
                <w:lang w:val="sr-Latn-RS"/>
              </w:rPr>
            </w:pPr>
            <w:r w:rsidRPr="00293455">
              <w:rPr>
                <w:b/>
                <w:lang w:val="sr-Latn-RS"/>
              </w:rPr>
              <w:t>Udeo u troškovima</w:t>
            </w:r>
          </w:p>
          <w:p w14:paraId="081B6A5D" w14:textId="3B35B56D" w:rsidR="00DA1C43" w:rsidRPr="00293455" w:rsidRDefault="00DA1C43" w:rsidP="009C1B20">
            <w:pPr>
              <w:spacing w:after="0" w:line="240" w:lineRule="auto"/>
              <w:ind w:right="11"/>
              <w:rPr>
                <w:lang w:val="sr-Latn-RS"/>
              </w:rPr>
            </w:pPr>
            <w:r w:rsidRPr="00293455">
              <w:rPr>
                <w:lang w:val="sr-Latn-RS"/>
              </w:rPr>
              <w:t xml:space="preserve">Minimalni udeo u troškovima za korisnike </w:t>
            </w:r>
            <w:r w:rsidR="007271D9">
              <w:rPr>
                <w:lang w:val="sr-Latn-RS"/>
              </w:rPr>
              <w:t>Partije 1 (</w:t>
            </w:r>
            <w:r w:rsidRPr="00293455">
              <w:rPr>
                <w:lang w:val="sr-Latn-RS"/>
              </w:rPr>
              <w:t>LOT1</w:t>
            </w:r>
            <w:r w:rsidR="007271D9">
              <w:rPr>
                <w:lang w:val="sr-Latn-RS"/>
              </w:rPr>
              <w:t>)</w:t>
            </w:r>
            <w:r w:rsidRPr="00293455">
              <w:rPr>
                <w:lang w:val="sr-Latn-RS"/>
              </w:rPr>
              <w:t xml:space="preserve"> je 20% traženog iznosa, a minimalni udeo u troškovima za korisnike </w:t>
            </w:r>
            <w:r w:rsidR="007271D9">
              <w:rPr>
                <w:lang w:val="sr-Latn-RS"/>
              </w:rPr>
              <w:t>Partije 2 (</w:t>
            </w:r>
            <w:r w:rsidRPr="00293455">
              <w:rPr>
                <w:lang w:val="sr-Latn-RS"/>
              </w:rPr>
              <w:t>LOT2</w:t>
            </w:r>
            <w:r w:rsidR="007271D9">
              <w:rPr>
                <w:lang w:val="sr-Latn-RS"/>
              </w:rPr>
              <w:t>)</w:t>
            </w:r>
            <w:r w:rsidRPr="00293455">
              <w:rPr>
                <w:lang w:val="sr-Latn-RS"/>
              </w:rPr>
              <w:t xml:space="preserve"> je 30% traženog iznosa. Kandidati sa udelom u troškovima većim od traženog biće nagrađeni dodatnim bodovima. </w:t>
            </w:r>
          </w:p>
        </w:tc>
        <w:tc>
          <w:tcPr>
            <w:tcW w:w="1350" w:type="dxa"/>
            <w:vAlign w:val="center"/>
          </w:tcPr>
          <w:p w14:paraId="1ECC2616" w14:textId="77777777" w:rsidR="00DA1C43" w:rsidRPr="00293455" w:rsidRDefault="00DA1C43" w:rsidP="009C1B20">
            <w:pPr>
              <w:jc w:val="center"/>
              <w:rPr>
                <w:b/>
                <w:lang w:val="sr-Latn-RS"/>
              </w:rPr>
            </w:pPr>
            <w:r w:rsidRPr="00293455">
              <w:rPr>
                <w:b/>
                <w:lang w:val="sr-Latn-RS"/>
              </w:rPr>
              <w:t>5</w:t>
            </w:r>
          </w:p>
        </w:tc>
      </w:tr>
      <w:tr w:rsidR="009856B5" w:rsidRPr="00293455" w14:paraId="25D4DAA1" w14:textId="77777777" w:rsidTr="00294D24">
        <w:trPr>
          <w:cantSplit/>
          <w:trHeight w:val="242"/>
        </w:trPr>
        <w:tc>
          <w:tcPr>
            <w:tcW w:w="7897" w:type="dxa"/>
            <w:gridSpan w:val="2"/>
            <w:vAlign w:val="center"/>
          </w:tcPr>
          <w:p w14:paraId="215F0616" w14:textId="658C65A3" w:rsidR="009856B5" w:rsidRPr="00293455" w:rsidRDefault="009856B5" w:rsidP="009856B5">
            <w:pPr>
              <w:spacing w:after="0" w:line="240" w:lineRule="auto"/>
              <w:ind w:right="11"/>
              <w:jc w:val="right"/>
              <w:rPr>
                <w:b/>
                <w:lang w:val="sr-Latn-RS"/>
              </w:rPr>
            </w:pPr>
            <w:r w:rsidRPr="00293455">
              <w:rPr>
                <w:b/>
                <w:lang w:val="sr-Latn-RS"/>
              </w:rPr>
              <w:t>Ukupan broj bodova</w:t>
            </w:r>
          </w:p>
        </w:tc>
        <w:tc>
          <w:tcPr>
            <w:tcW w:w="1350" w:type="dxa"/>
            <w:vAlign w:val="center"/>
          </w:tcPr>
          <w:p w14:paraId="55793436" w14:textId="5624083D" w:rsidR="009856B5" w:rsidRPr="00293455" w:rsidRDefault="009856B5" w:rsidP="009C1B20">
            <w:pPr>
              <w:jc w:val="center"/>
              <w:rPr>
                <w:b/>
                <w:lang w:val="sr-Latn-RS"/>
              </w:rPr>
            </w:pPr>
            <w:r w:rsidRPr="00293455">
              <w:rPr>
                <w:b/>
                <w:lang w:val="sr-Latn-RS"/>
              </w:rPr>
              <w:t>100</w:t>
            </w:r>
          </w:p>
        </w:tc>
      </w:tr>
    </w:tbl>
    <w:p w14:paraId="15C21D3B" w14:textId="77777777" w:rsidR="00DA1C43" w:rsidRPr="00293455" w:rsidRDefault="00DA1C43" w:rsidP="000A2F06">
      <w:pPr>
        <w:spacing w:after="0" w:line="240" w:lineRule="auto"/>
        <w:jc w:val="both"/>
        <w:rPr>
          <w:lang w:val="sr-Latn-RS"/>
        </w:rPr>
      </w:pPr>
    </w:p>
    <w:p w14:paraId="52E82AD6" w14:textId="4674442A" w:rsidR="00DA1C43" w:rsidRPr="00293455" w:rsidRDefault="00DA1C43" w:rsidP="009043FD">
      <w:pPr>
        <w:spacing w:after="0" w:line="240" w:lineRule="auto"/>
        <w:jc w:val="both"/>
        <w:rPr>
          <w:lang w:val="sr-Latn-RS"/>
        </w:rPr>
      </w:pPr>
      <w:r w:rsidRPr="00293455">
        <w:rPr>
          <w:lang w:val="sr-Latn-RS"/>
        </w:rPr>
        <w:t xml:space="preserve">Samo kandidati koji su ostvarili ukupan rezultat od minimum 70 bodova biće uzeti u obzir za dodelu </w:t>
      </w:r>
      <w:r w:rsidR="00DC06E5" w:rsidRPr="00293455">
        <w:rPr>
          <w:lang w:val="sr-Latn-RS"/>
        </w:rPr>
        <w:t>bespovratnih sredstava</w:t>
      </w:r>
      <w:r w:rsidRPr="00293455">
        <w:rPr>
          <w:lang w:val="sr-Latn-RS"/>
        </w:rPr>
        <w:t>.</w:t>
      </w:r>
    </w:p>
    <w:p w14:paraId="2FC03BBE" w14:textId="77777777" w:rsidR="00DA1C43" w:rsidRPr="00293455" w:rsidRDefault="00DA1C43" w:rsidP="00FA4B12">
      <w:pPr>
        <w:spacing w:after="0" w:line="240" w:lineRule="auto"/>
        <w:jc w:val="both"/>
        <w:rPr>
          <w:lang w:val="sr-Latn-RS"/>
        </w:rPr>
      </w:pPr>
    </w:p>
    <w:p w14:paraId="2E46AEE8" w14:textId="0887B97B" w:rsidR="00DA1C43" w:rsidRDefault="00DA1C43" w:rsidP="00F1769B">
      <w:pPr>
        <w:spacing w:after="0" w:line="240" w:lineRule="auto"/>
        <w:jc w:val="both"/>
        <w:rPr>
          <w:lang w:val="sr-Latn-RS"/>
        </w:rPr>
      </w:pPr>
      <w:r w:rsidRPr="00293455">
        <w:rPr>
          <w:lang w:val="sr-Latn-RS"/>
        </w:rPr>
        <w:t xml:space="preserve">Program zadržava pravo da </w:t>
      </w:r>
      <w:r w:rsidR="00294D24">
        <w:rPr>
          <w:lang w:val="sr-Latn-RS"/>
        </w:rPr>
        <w:t xml:space="preserve">poseti lokacije kandidata </w:t>
      </w:r>
      <w:r w:rsidRPr="00293455">
        <w:rPr>
          <w:lang w:val="sr-Latn-RS"/>
        </w:rPr>
        <w:t xml:space="preserve">u cilju </w:t>
      </w:r>
      <w:r w:rsidR="00294D24">
        <w:rPr>
          <w:lang w:val="sr-Latn-RS"/>
        </w:rPr>
        <w:t>potvrde</w:t>
      </w:r>
      <w:r w:rsidRPr="00293455">
        <w:rPr>
          <w:lang w:val="sr-Latn-RS"/>
        </w:rPr>
        <w:t xml:space="preserve"> informacije </w:t>
      </w:r>
      <w:r w:rsidR="00F1769B">
        <w:rPr>
          <w:lang w:val="sr-Latn-RS"/>
        </w:rPr>
        <w:t xml:space="preserve">iz prijavnih formulara. </w:t>
      </w:r>
      <w:r w:rsidRPr="00293455">
        <w:rPr>
          <w:lang w:val="sr-Latn-RS"/>
        </w:rPr>
        <w:t xml:space="preserve">Posete mogu da podrazumevaju sastanke sa odgovornim osobama i ključnim operativnim i poslovnim osobljem, kao i </w:t>
      </w:r>
      <w:r w:rsidR="00F1769B">
        <w:rPr>
          <w:lang w:val="sr-Latn-RS"/>
        </w:rPr>
        <w:t>uvid</w:t>
      </w:r>
      <w:r w:rsidRPr="00293455">
        <w:rPr>
          <w:lang w:val="sr-Latn-RS"/>
        </w:rPr>
        <w:t xml:space="preserve"> u bilo koje prostorije/objekte u svrhe koje se odnose na prijavu.</w:t>
      </w:r>
    </w:p>
    <w:p w14:paraId="59E36458" w14:textId="77777777" w:rsidR="00F1769B" w:rsidRPr="00293455" w:rsidRDefault="00F1769B" w:rsidP="00F1769B">
      <w:pPr>
        <w:spacing w:after="0" w:line="240" w:lineRule="auto"/>
        <w:jc w:val="both"/>
        <w:rPr>
          <w:lang w:val="sr-Latn-RS"/>
        </w:rPr>
      </w:pPr>
    </w:p>
    <w:p w14:paraId="4D68D70F" w14:textId="65BD8702" w:rsidR="009856B5" w:rsidRPr="00293455" w:rsidRDefault="00DA1C43" w:rsidP="009856B5">
      <w:pPr>
        <w:pStyle w:val="Heading3"/>
        <w:numPr>
          <w:ilvl w:val="0"/>
          <w:numId w:val="2"/>
        </w:numPr>
        <w:rPr>
          <w:rFonts w:ascii="Corbel" w:hAnsi="Corbel"/>
          <w:b/>
          <w:sz w:val="28"/>
          <w:lang w:val="sr-Latn-RS"/>
        </w:rPr>
      </w:pPr>
      <w:r w:rsidRPr="00293455">
        <w:rPr>
          <w:rFonts w:ascii="Corbel" w:hAnsi="Corbel"/>
          <w:b/>
          <w:sz w:val="28"/>
          <w:lang w:val="sr-Latn-RS"/>
        </w:rPr>
        <w:t xml:space="preserve">Postupak </w:t>
      </w:r>
      <w:r w:rsidR="00573797" w:rsidRPr="00293455">
        <w:rPr>
          <w:rFonts w:ascii="Corbel" w:hAnsi="Corbel"/>
          <w:b/>
          <w:sz w:val="28"/>
          <w:lang w:val="sr-Latn-RS"/>
        </w:rPr>
        <w:t>za podnošenje prijava</w:t>
      </w:r>
    </w:p>
    <w:p w14:paraId="32F14100" w14:textId="4D1DB1E2" w:rsidR="009856B5" w:rsidRPr="00293455" w:rsidRDefault="009856B5" w:rsidP="009856B5">
      <w:pPr>
        <w:rPr>
          <w:lang w:val="sr-Latn-RS"/>
        </w:rPr>
      </w:pPr>
      <w:r w:rsidRPr="00293455">
        <w:rPr>
          <w:lang w:val="sr-Latn-RS"/>
        </w:rPr>
        <w:t>Podnošenje predloga projekata će se sprovesti u dve faze:</w:t>
      </w:r>
    </w:p>
    <w:p w14:paraId="78A62D78" w14:textId="30BBDA8F" w:rsidR="009856B5" w:rsidRPr="00293455" w:rsidRDefault="009856B5" w:rsidP="009856B5">
      <w:pPr>
        <w:pStyle w:val="ListParagraph"/>
        <w:numPr>
          <w:ilvl w:val="0"/>
          <w:numId w:val="32"/>
        </w:numPr>
        <w:jc w:val="both"/>
        <w:rPr>
          <w:lang w:val="sr-Latn-RS"/>
        </w:rPr>
      </w:pPr>
      <w:r w:rsidRPr="00293455">
        <w:rPr>
          <w:b/>
          <w:lang w:val="sr-Latn-RS"/>
        </w:rPr>
        <w:t xml:space="preserve">Prva faza </w:t>
      </w:r>
      <w:r w:rsidRPr="00293455">
        <w:rPr>
          <w:lang w:val="sr-Latn-RS"/>
        </w:rPr>
        <w:t xml:space="preserve">obuhvata </w:t>
      </w:r>
      <w:r w:rsidRPr="00293455">
        <w:rPr>
          <w:b/>
          <w:lang w:val="sr-Latn-RS"/>
        </w:rPr>
        <w:t>podnošenje Koncepata predloga projekta</w:t>
      </w:r>
      <w:r w:rsidRPr="00293455">
        <w:rPr>
          <w:lang w:val="sr-Latn-RS"/>
        </w:rPr>
        <w:t xml:space="preserve"> na osnovu koga će se uraditi provera </w:t>
      </w:r>
      <w:r w:rsidR="00D42839" w:rsidRPr="00293455">
        <w:rPr>
          <w:lang w:val="sr-Latn-RS"/>
        </w:rPr>
        <w:t>kvalifikovanosti</w:t>
      </w:r>
      <w:r w:rsidRPr="00293455">
        <w:rPr>
          <w:lang w:val="sr-Latn-RS"/>
        </w:rPr>
        <w:t xml:space="preserve"> kandidata u odnosu na Opšte kriterijume za učešće i evaluacija</w:t>
      </w:r>
      <w:r w:rsidR="009565A3" w:rsidRPr="00293455">
        <w:rPr>
          <w:lang w:val="sr-Latn-RS"/>
        </w:rPr>
        <w:t xml:space="preserve"> </w:t>
      </w:r>
      <w:r w:rsidR="00D42839" w:rsidRPr="00293455">
        <w:rPr>
          <w:lang w:val="sr-Latn-RS"/>
        </w:rPr>
        <w:t xml:space="preserve">projekata u odnosu na kriterijume za evaluaciju koji su dati u prethodnom poglavlju ovog dokumenta. </w:t>
      </w:r>
    </w:p>
    <w:p w14:paraId="31BC6A81" w14:textId="77777777" w:rsidR="009565A3" w:rsidRPr="00293455" w:rsidRDefault="009565A3" w:rsidP="009565A3">
      <w:pPr>
        <w:pStyle w:val="ListParagraph"/>
        <w:jc w:val="both"/>
        <w:rPr>
          <w:lang w:val="sr-Latn-RS"/>
        </w:rPr>
      </w:pPr>
    </w:p>
    <w:p w14:paraId="1A2B4EA8" w14:textId="3999FF76" w:rsidR="009856B5" w:rsidRDefault="009856B5" w:rsidP="009856B5">
      <w:pPr>
        <w:pStyle w:val="ListParagraph"/>
        <w:numPr>
          <w:ilvl w:val="0"/>
          <w:numId w:val="32"/>
        </w:numPr>
        <w:jc w:val="both"/>
        <w:rPr>
          <w:lang w:val="sr-Latn-RS"/>
        </w:rPr>
      </w:pPr>
      <w:r w:rsidRPr="00293455">
        <w:rPr>
          <w:b/>
          <w:lang w:val="sr-Latn-RS"/>
        </w:rPr>
        <w:t xml:space="preserve">Druga faza </w:t>
      </w:r>
      <w:r w:rsidRPr="00293455">
        <w:rPr>
          <w:lang w:val="sr-Latn-RS"/>
        </w:rPr>
        <w:t>otvorena je samo za kandidate koji su pozitivno ocenjeni u Prvoj fazi</w:t>
      </w:r>
      <w:r w:rsidR="00D42839" w:rsidRPr="00293455">
        <w:rPr>
          <w:lang w:val="sr-Latn-RS"/>
        </w:rPr>
        <w:t xml:space="preserve"> koji će biti pozvani da predaju </w:t>
      </w:r>
      <w:r w:rsidR="00D42839" w:rsidRPr="00293455">
        <w:rPr>
          <w:b/>
          <w:lang w:val="sr-Latn-RS"/>
        </w:rPr>
        <w:t>Kompletan aplikacioni formular i prateću dokumentaciju</w:t>
      </w:r>
      <w:r w:rsidR="00D42839" w:rsidRPr="00293455">
        <w:rPr>
          <w:lang w:val="sr-Latn-RS"/>
        </w:rPr>
        <w:t>. Druga faza</w:t>
      </w:r>
      <w:r w:rsidRPr="00293455">
        <w:rPr>
          <w:lang w:val="sr-Latn-RS"/>
        </w:rPr>
        <w:t xml:space="preserve"> obuhvata dodatnu procenu kvalifikovanosti i tehničku evaluaciju Kompletnog aplikacionog formulara.</w:t>
      </w:r>
    </w:p>
    <w:p w14:paraId="1EDC1E4C" w14:textId="77777777" w:rsidR="007271D9" w:rsidRPr="00293455" w:rsidRDefault="007271D9" w:rsidP="007271D9">
      <w:pPr>
        <w:spacing w:after="0" w:line="240" w:lineRule="auto"/>
        <w:jc w:val="both"/>
        <w:rPr>
          <w:lang w:val="sr-Latn-RS"/>
        </w:rPr>
      </w:pPr>
      <w:r w:rsidRPr="00293455">
        <w:rPr>
          <w:lang w:val="sr-Latn-RS"/>
        </w:rPr>
        <w:t>Nacrt Kompletnog aplikacionog formulara je u fazi prijave koncepata predloga projekta dat informativno. Formular kompletnog aplikacionog formulara biće dostavljen u excel formatu samo kandidatima čiji koncepti predloga projekta budu pozitivno ocenjeni uz instrukcije o potrebnoj pratećoj dokumentaciji.</w:t>
      </w:r>
      <w:r>
        <w:rPr>
          <w:lang w:val="sr-Latn-RS"/>
        </w:rPr>
        <w:t xml:space="preserve"> </w:t>
      </w:r>
      <w:r w:rsidRPr="00293455">
        <w:rPr>
          <w:lang w:val="sr-Latn-RS"/>
        </w:rPr>
        <w:t xml:space="preserve"> </w:t>
      </w:r>
    </w:p>
    <w:p w14:paraId="7EFC53EF" w14:textId="77777777" w:rsidR="007271D9" w:rsidRDefault="007271D9" w:rsidP="007271D9">
      <w:pPr>
        <w:jc w:val="both"/>
        <w:rPr>
          <w:lang w:val="sr-Latn-RS"/>
        </w:rPr>
      </w:pPr>
    </w:p>
    <w:p w14:paraId="20A8A6EC" w14:textId="77777777" w:rsidR="00F67405" w:rsidRDefault="00F67405" w:rsidP="007271D9">
      <w:pPr>
        <w:jc w:val="both"/>
        <w:rPr>
          <w:lang w:val="sr-Latn-RS"/>
        </w:rPr>
      </w:pPr>
    </w:p>
    <w:p w14:paraId="011862BC" w14:textId="77777777" w:rsidR="00F67405" w:rsidRPr="007271D9" w:rsidRDefault="00F67405" w:rsidP="007271D9">
      <w:pPr>
        <w:jc w:val="both"/>
        <w:rPr>
          <w:lang w:val="sr-Latn-RS"/>
        </w:rPr>
      </w:pPr>
    </w:p>
    <w:p w14:paraId="30A16A46" w14:textId="6843CE5B" w:rsidR="00573797" w:rsidRPr="00293455" w:rsidRDefault="00C27230" w:rsidP="00DC06E5">
      <w:pPr>
        <w:pStyle w:val="Heading3"/>
        <w:numPr>
          <w:ilvl w:val="0"/>
          <w:numId w:val="42"/>
        </w:numPr>
        <w:rPr>
          <w:b/>
          <w:lang w:val="sr-Latn-RS"/>
        </w:rPr>
      </w:pPr>
      <w:r w:rsidRPr="00293455">
        <w:rPr>
          <w:b/>
          <w:lang w:val="sr-Latn-RS"/>
        </w:rPr>
        <w:lastRenderedPageBreak/>
        <w:t>Obrasci za prijavu</w:t>
      </w:r>
      <w:r w:rsidR="00D42839" w:rsidRPr="00293455">
        <w:rPr>
          <w:b/>
          <w:lang w:val="sr-Latn-RS"/>
        </w:rPr>
        <w:t xml:space="preserve"> koncepata predloga projekta</w:t>
      </w:r>
      <w:r w:rsidRPr="00293455">
        <w:rPr>
          <w:b/>
          <w:lang w:val="sr-Latn-RS"/>
        </w:rPr>
        <w:t xml:space="preserve"> </w:t>
      </w:r>
    </w:p>
    <w:p w14:paraId="708ADC06" w14:textId="14A8B33F" w:rsidR="00C27230" w:rsidRPr="00293455" w:rsidRDefault="00C27230" w:rsidP="00C27230">
      <w:pPr>
        <w:spacing w:after="0" w:line="240" w:lineRule="auto"/>
        <w:jc w:val="both"/>
        <w:rPr>
          <w:lang w:val="sr-Latn-RS"/>
        </w:rPr>
      </w:pPr>
      <w:r w:rsidRPr="00293455">
        <w:rPr>
          <w:lang w:val="sr-Latn-RS"/>
        </w:rPr>
        <w:t xml:space="preserve">Podnosilac prijave mora da dostavi sledeće dokumente na srpskom jeziku: </w:t>
      </w:r>
    </w:p>
    <w:p w14:paraId="1A27D77B" w14:textId="064859C6" w:rsidR="00C27230" w:rsidRPr="00293455" w:rsidRDefault="009565A3" w:rsidP="00C27230">
      <w:pPr>
        <w:numPr>
          <w:ilvl w:val="0"/>
          <w:numId w:val="41"/>
        </w:numPr>
        <w:spacing w:after="0" w:line="240" w:lineRule="auto"/>
        <w:jc w:val="both"/>
        <w:rPr>
          <w:lang w:val="sr-Latn-RS"/>
        </w:rPr>
      </w:pPr>
      <w:r w:rsidRPr="00293455">
        <w:rPr>
          <w:lang w:val="sr-Latn-RS"/>
        </w:rPr>
        <w:t>Popunjen P</w:t>
      </w:r>
      <w:r w:rsidR="00C27230" w:rsidRPr="00293455">
        <w:rPr>
          <w:lang w:val="sr-Latn-RS"/>
        </w:rPr>
        <w:t xml:space="preserve">rijavni formular za koncept predloga projekta </w:t>
      </w:r>
      <w:r w:rsidRPr="00293455">
        <w:rPr>
          <w:lang w:val="sr-Latn-RS"/>
        </w:rPr>
        <w:t xml:space="preserve">(Anex A) u </w:t>
      </w:r>
      <w:r w:rsidR="009E06BF" w:rsidRPr="00293455">
        <w:rPr>
          <w:lang w:val="sr-Latn-RS"/>
        </w:rPr>
        <w:t xml:space="preserve">originalnom </w:t>
      </w:r>
      <w:r w:rsidRPr="00293455">
        <w:rPr>
          <w:lang w:val="sr-Latn-RS"/>
        </w:rPr>
        <w:t>word formatu</w:t>
      </w:r>
      <w:r w:rsidR="00F67405">
        <w:rPr>
          <w:lang w:val="sr-Latn-RS"/>
        </w:rPr>
        <w:t xml:space="preserve"> i identičnu verziju formulara sa potpisom ovlašćenog lica i pečatom preduzeča, skeniran i prebačen u PDF format</w:t>
      </w:r>
    </w:p>
    <w:p w14:paraId="51D96E6C" w14:textId="1C259206" w:rsidR="00C27230" w:rsidRPr="00293455" w:rsidRDefault="009E06BF" w:rsidP="00C27230">
      <w:pPr>
        <w:numPr>
          <w:ilvl w:val="0"/>
          <w:numId w:val="41"/>
        </w:numPr>
        <w:spacing w:after="0" w:line="240" w:lineRule="auto"/>
        <w:jc w:val="both"/>
        <w:rPr>
          <w:lang w:val="sr-Latn-RS"/>
        </w:rPr>
      </w:pPr>
      <w:r w:rsidRPr="00293455">
        <w:rPr>
          <w:lang w:val="sr-Latn-RS"/>
        </w:rPr>
        <w:t>Popunjenu Izjavu</w:t>
      </w:r>
      <w:r w:rsidR="009565A3" w:rsidRPr="00293455">
        <w:rPr>
          <w:lang w:val="sr-Latn-RS"/>
        </w:rPr>
        <w:t xml:space="preserve"> o prihvatanju uslova poziva (Anex </w:t>
      </w:r>
      <w:r w:rsidRPr="00293455">
        <w:rPr>
          <w:lang w:val="sr-Latn-RS"/>
        </w:rPr>
        <w:t>B</w:t>
      </w:r>
      <w:r w:rsidR="009565A3" w:rsidRPr="00293455">
        <w:rPr>
          <w:lang w:val="sr-Latn-RS"/>
        </w:rPr>
        <w:t>)</w:t>
      </w:r>
      <w:r w:rsidRPr="00293455">
        <w:rPr>
          <w:lang w:val="sr-Latn-RS"/>
        </w:rPr>
        <w:t xml:space="preserve"> sa potpisom ovlašćenog lica i pečatom preduzeća, skenirana i prebačena u PDF format</w:t>
      </w:r>
      <w:r w:rsidR="009565A3" w:rsidRPr="00293455">
        <w:rPr>
          <w:lang w:val="sr-Latn-RS"/>
        </w:rPr>
        <w:t xml:space="preserve"> </w:t>
      </w:r>
    </w:p>
    <w:p w14:paraId="2ADE56DD" w14:textId="77777777" w:rsidR="009E06BF" w:rsidRPr="00293455" w:rsidRDefault="009E06BF" w:rsidP="009E06BF">
      <w:pPr>
        <w:spacing w:after="0" w:line="240" w:lineRule="auto"/>
        <w:jc w:val="both"/>
        <w:rPr>
          <w:lang w:val="sr-Latn-RS"/>
        </w:rPr>
      </w:pPr>
    </w:p>
    <w:p w14:paraId="688FEEB1" w14:textId="0A5D50A2" w:rsidR="009E06BF" w:rsidRPr="00293455" w:rsidRDefault="009E06BF" w:rsidP="009E06BF">
      <w:pPr>
        <w:pStyle w:val="Heading3"/>
        <w:numPr>
          <w:ilvl w:val="0"/>
          <w:numId w:val="42"/>
        </w:numPr>
        <w:rPr>
          <w:b/>
          <w:lang w:val="sr-Latn-RS"/>
        </w:rPr>
      </w:pPr>
      <w:r w:rsidRPr="00293455">
        <w:rPr>
          <w:b/>
          <w:lang w:val="sr-Latn-RS"/>
        </w:rPr>
        <w:t>Gde i kako poslati prijavu</w:t>
      </w:r>
    </w:p>
    <w:p w14:paraId="452451CF" w14:textId="31F00AD8" w:rsidR="0073190D" w:rsidRPr="00293455" w:rsidRDefault="0073190D" w:rsidP="0073190D">
      <w:pPr>
        <w:spacing w:after="0" w:line="240" w:lineRule="auto"/>
        <w:jc w:val="both"/>
        <w:rPr>
          <w:lang w:val="sr-Latn-RS"/>
        </w:rPr>
      </w:pPr>
      <w:r w:rsidRPr="00293455">
        <w:rPr>
          <w:lang w:val="sr-Latn-RS"/>
        </w:rPr>
        <w:t>Popunjeni obrasci za prijavu koncepata predloga projekta moraju biti predati na sledeći način:</w:t>
      </w:r>
    </w:p>
    <w:p w14:paraId="4A3CC857" w14:textId="77777777" w:rsidR="0073190D" w:rsidRPr="00293455" w:rsidRDefault="0073190D" w:rsidP="0073190D">
      <w:pPr>
        <w:spacing w:after="0" w:line="240" w:lineRule="auto"/>
        <w:jc w:val="both"/>
        <w:rPr>
          <w:lang w:val="sr-Latn-RS"/>
        </w:rPr>
      </w:pPr>
    </w:p>
    <w:p w14:paraId="3B85AE51" w14:textId="77777777" w:rsidR="001C31F9" w:rsidRDefault="0073190D" w:rsidP="00F72853">
      <w:pPr>
        <w:pStyle w:val="ListParagraph"/>
        <w:numPr>
          <w:ilvl w:val="0"/>
          <w:numId w:val="45"/>
        </w:numPr>
        <w:spacing w:after="120" w:line="240" w:lineRule="auto"/>
        <w:contextualSpacing w:val="0"/>
        <w:jc w:val="both"/>
        <w:rPr>
          <w:lang w:val="sr-Latn-RS"/>
        </w:rPr>
      </w:pPr>
      <w:r w:rsidRPr="00293455">
        <w:rPr>
          <w:lang w:val="sr-Latn-RS"/>
        </w:rPr>
        <w:t xml:space="preserve">Isključivo elektronskim putem na mejl adresu </w:t>
      </w:r>
      <w:hyperlink r:id="rId8" w:history="1">
        <w:r w:rsidR="001C31F9" w:rsidRPr="00453C56">
          <w:rPr>
            <w:rStyle w:val="Hyperlink"/>
            <w:lang w:val="sr-Latn-RS"/>
          </w:rPr>
          <w:t>rsoc.applications@unops.org</w:t>
        </w:r>
      </w:hyperlink>
      <w:r w:rsidR="001C31F9">
        <w:rPr>
          <w:lang w:val="sr-Latn-RS"/>
        </w:rPr>
        <w:t xml:space="preserve"> </w:t>
      </w:r>
    </w:p>
    <w:p w14:paraId="34C4CA3F" w14:textId="77777777" w:rsidR="001C31F9" w:rsidRDefault="001C31F9" w:rsidP="00F72853">
      <w:pPr>
        <w:pStyle w:val="ListParagraph"/>
        <w:numPr>
          <w:ilvl w:val="0"/>
          <w:numId w:val="45"/>
        </w:numPr>
        <w:spacing w:after="120" w:line="240" w:lineRule="auto"/>
        <w:contextualSpacing w:val="0"/>
        <w:jc w:val="both"/>
        <w:rPr>
          <w:lang w:val="sr-Latn-RS"/>
        </w:rPr>
      </w:pPr>
      <w:r>
        <w:rPr>
          <w:lang w:val="sr-Latn-RS"/>
        </w:rPr>
        <w:t xml:space="preserve">Aplikacije moraju imati </w:t>
      </w:r>
      <w:r w:rsidR="0073190D" w:rsidRPr="00293455">
        <w:rPr>
          <w:lang w:val="sr-Latn-RS"/>
        </w:rPr>
        <w:t>referentni broje poziva (CFP 05-2018)</w:t>
      </w:r>
      <w:r w:rsidR="00CF2250" w:rsidRPr="00293455">
        <w:rPr>
          <w:lang w:val="sr-Latn-RS"/>
        </w:rPr>
        <w:t xml:space="preserve"> </w:t>
      </w:r>
    </w:p>
    <w:p w14:paraId="0073DA89" w14:textId="503B73ED" w:rsidR="0073190D" w:rsidRDefault="001C31F9" w:rsidP="00F72853">
      <w:pPr>
        <w:pStyle w:val="ListParagraph"/>
        <w:numPr>
          <w:ilvl w:val="0"/>
          <w:numId w:val="45"/>
        </w:numPr>
        <w:spacing w:after="120" w:line="240" w:lineRule="auto"/>
        <w:contextualSpacing w:val="0"/>
        <w:jc w:val="both"/>
        <w:rPr>
          <w:lang w:val="sr-Latn-RS"/>
        </w:rPr>
      </w:pPr>
      <w:r>
        <w:rPr>
          <w:lang w:val="sr-Latn-RS"/>
        </w:rPr>
        <w:t xml:space="preserve">Aplikacije se predaju </w:t>
      </w:r>
      <w:r w:rsidR="00CF2250" w:rsidRPr="00293455">
        <w:rPr>
          <w:lang w:val="sr-Latn-RS"/>
        </w:rPr>
        <w:t>u PDF formatu (skeniran dokument sa potpisom i pečatom podnosioca)</w:t>
      </w:r>
      <w:r>
        <w:rPr>
          <w:lang w:val="sr-Latn-RS"/>
        </w:rPr>
        <w:t xml:space="preserve"> zajedno sa originalnim dokumentima u word formatu. Potpisani dokumenti moraju biti identični onima u </w:t>
      </w:r>
      <w:r w:rsidR="00CF2250" w:rsidRPr="00293455">
        <w:rPr>
          <w:lang w:val="sr-Latn-RS"/>
        </w:rPr>
        <w:t>word formatu</w:t>
      </w:r>
      <w:r>
        <w:rPr>
          <w:lang w:val="sr-Latn-RS"/>
        </w:rPr>
        <w:t>. U slučaju neslaganja potpisane verzije će se smatrati važećim.</w:t>
      </w:r>
    </w:p>
    <w:p w14:paraId="4B70D051" w14:textId="5D9A1E59" w:rsidR="00CF2250" w:rsidRPr="00293455" w:rsidRDefault="00CF2250" w:rsidP="00F72853">
      <w:pPr>
        <w:pStyle w:val="ListParagraph"/>
        <w:numPr>
          <w:ilvl w:val="0"/>
          <w:numId w:val="45"/>
        </w:numPr>
        <w:spacing w:after="120" w:line="240" w:lineRule="auto"/>
        <w:contextualSpacing w:val="0"/>
        <w:jc w:val="both"/>
        <w:rPr>
          <w:lang w:val="sr-Latn-RS"/>
        </w:rPr>
      </w:pPr>
      <w:r w:rsidRPr="00293455">
        <w:rPr>
          <w:lang w:val="sr-Latn-RS"/>
        </w:rPr>
        <w:t>Svi formulari se obavezno moraju predati na srpskom jeziku.</w:t>
      </w:r>
    </w:p>
    <w:p w14:paraId="4B8B89FB" w14:textId="2B245D77" w:rsidR="00CF2250" w:rsidRPr="00293455" w:rsidRDefault="00CF2250" w:rsidP="00F72853">
      <w:pPr>
        <w:pStyle w:val="ListParagraph"/>
        <w:numPr>
          <w:ilvl w:val="0"/>
          <w:numId w:val="45"/>
        </w:numPr>
        <w:spacing w:after="120" w:line="240" w:lineRule="auto"/>
        <w:contextualSpacing w:val="0"/>
        <w:jc w:val="both"/>
        <w:rPr>
          <w:lang w:val="sr-Latn-RS"/>
        </w:rPr>
      </w:pPr>
      <w:r w:rsidRPr="00293455">
        <w:rPr>
          <w:lang w:val="sr-Latn-RS"/>
        </w:rPr>
        <w:t>Ukupna veličina predatih fajlova u jednom mejlu ne sme preći 20 MB, što je ograničenje UNOPS servera. Ukoliko veličina fajlova prelazi 20 MB potrebno je podeliti prijavu u više mejlova poštujući ovo ograničenje, uz adekvatno imenovanje u naslovu mejla</w:t>
      </w:r>
    </w:p>
    <w:p w14:paraId="2D22638A" w14:textId="177F568B" w:rsidR="00CF2250" w:rsidRDefault="00CF2250" w:rsidP="00F72853">
      <w:pPr>
        <w:pStyle w:val="ListParagraph"/>
        <w:numPr>
          <w:ilvl w:val="0"/>
          <w:numId w:val="45"/>
        </w:numPr>
        <w:spacing w:after="120" w:line="240" w:lineRule="auto"/>
        <w:contextualSpacing w:val="0"/>
        <w:jc w:val="both"/>
        <w:rPr>
          <w:lang w:val="sr-Latn-RS"/>
        </w:rPr>
      </w:pPr>
      <w:r w:rsidRPr="00293455">
        <w:rPr>
          <w:lang w:val="sr-Latn-RS"/>
        </w:rPr>
        <w:t xml:space="preserve">Sve prijave se moraju predati na sledeću mejl adresu: </w:t>
      </w:r>
      <w:hyperlink r:id="rId9" w:history="1">
        <w:r w:rsidRPr="00293455">
          <w:rPr>
            <w:rStyle w:val="Hyperlink"/>
            <w:lang w:val="sr-Latn-RS"/>
          </w:rPr>
          <w:t>rsoc.applications@unops.org</w:t>
        </w:r>
      </w:hyperlink>
      <w:r w:rsidRPr="00293455">
        <w:rPr>
          <w:lang w:val="sr-Latn-RS"/>
        </w:rPr>
        <w:t xml:space="preserve"> Po uspešnoj predaji aplikacije dobićete automatski generisan mejl sa potvrdom o prijavi aplikacije</w:t>
      </w:r>
    </w:p>
    <w:p w14:paraId="77C0D60A" w14:textId="77777777" w:rsidR="00293455" w:rsidRDefault="00293455" w:rsidP="00F72853">
      <w:pPr>
        <w:pStyle w:val="ListParagraph"/>
        <w:numPr>
          <w:ilvl w:val="0"/>
          <w:numId w:val="45"/>
        </w:numPr>
        <w:spacing w:after="120" w:line="240" w:lineRule="auto"/>
        <w:contextualSpacing w:val="0"/>
        <w:jc w:val="both"/>
        <w:rPr>
          <w:lang w:val="sr-Latn-RS"/>
        </w:rPr>
      </w:pPr>
      <w:r w:rsidRPr="00293455">
        <w:rPr>
          <w:lang w:val="sr-Latn-RS"/>
        </w:rPr>
        <w:t xml:space="preserve">Prijave moraju biti predate najkasnije do ponoći 6.jula 2018. Sve prijave koje budu predate nakon roka neće biti uzete u razmatranje. </w:t>
      </w:r>
    </w:p>
    <w:p w14:paraId="406FABA4" w14:textId="3BE046D4" w:rsidR="00293455" w:rsidRPr="00293455" w:rsidRDefault="00293455" w:rsidP="00F72853">
      <w:pPr>
        <w:pStyle w:val="ListParagraph"/>
        <w:numPr>
          <w:ilvl w:val="0"/>
          <w:numId w:val="45"/>
        </w:numPr>
        <w:spacing w:after="120" w:line="240" w:lineRule="auto"/>
        <w:contextualSpacing w:val="0"/>
        <w:jc w:val="both"/>
        <w:rPr>
          <w:lang w:val="sr-Latn-RS"/>
        </w:rPr>
      </w:pPr>
      <w:r>
        <w:rPr>
          <w:lang w:val="sr-Latn-RS"/>
        </w:rPr>
        <w:t>Podnosiocima</w:t>
      </w:r>
      <w:r w:rsidRPr="00293455">
        <w:rPr>
          <w:lang w:val="sr-Latn-RS"/>
        </w:rPr>
        <w:t xml:space="preserve"> prijava se preporučuje da blagovremeno podnesu prijavu, jer kasne isporuke zbog usporene internet veze ili drugih problema povezanih sa mrežom / hardverom / softverom mogu dovesti do diskvalifikacije aplikacije. Prihvaćene su samo ponude koje je primio UNOPS mail server pre isteka roka</w:t>
      </w:r>
      <w:r>
        <w:rPr>
          <w:lang w:val="sr-Latn-RS"/>
        </w:rPr>
        <w:t xml:space="preserve">. </w:t>
      </w:r>
    </w:p>
    <w:p w14:paraId="12B7128B" w14:textId="1D42D408" w:rsidR="00CF2250" w:rsidRPr="00293455" w:rsidRDefault="00CF2250" w:rsidP="00F72853">
      <w:pPr>
        <w:pStyle w:val="ListParagraph"/>
        <w:numPr>
          <w:ilvl w:val="0"/>
          <w:numId w:val="45"/>
        </w:numPr>
        <w:spacing w:after="120" w:line="240" w:lineRule="auto"/>
        <w:contextualSpacing w:val="0"/>
        <w:jc w:val="both"/>
        <w:rPr>
          <w:lang w:val="sr-Latn-RS"/>
        </w:rPr>
      </w:pPr>
      <w:r w:rsidRPr="00293455">
        <w:rPr>
          <w:lang w:val="sr-Latn-RS"/>
        </w:rPr>
        <w:t xml:space="preserve">Zahtevi za pojašnjenje moraju biti upućeni preko mejl adrese </w:t>
      </w:r>
      <w:hyperlink r:id="rId10" w:history="1">
        <w:r w:rsidR="00F72853" w:rsidRPr="00453C56">
          <w:rPr>
            <w:rStyle w:val="Hyperlink"/>
            <w:lang w:val="sr-Latn-RS"/>
          </w:rPr>
          <w:t>rsoc.cfp.clarifications@unops.org</w:t>
        </w:r>
      </w:hyperlink>
      <w:r w:rsidR="00F72853">
        <w:rPr>
          <w:lang w:val="sr-Latn-RS"/>
        </w:rPr>
        <w:t xml:space="preserve">  </w:t>
      </w:r>
      <w:r w:rsidR="00293455">
        <w:rPr>
          <w:lang w:val="sr-Latn-RS"/>
        </w:rPr>
        <w:t xml:space="preserve"> </w:t>
      </w:r>
      <w:r w:rsidRPr="00293455">
        <w:rPr>
          <w:lang w:val="sr-Latn-RS"/>
        </w:rPr>
        <w:t xml:space="preserve"> </w:t>
      </w:r>
      <w:r w:rsidR="00293455" w:rsidRPr="00293455">
        <w:rPr>
          <w:lang w:val="sr-Latn-RS"/>
        </w:rPr>
        <w:t xml:space="preserve">najkasnije do 25.juna 2018. </w:t>
      </w:r>
      <w:r w:rsidR="00293455">
        <w:rPr>
          <w:lang w:val="sr-Latn-RS"/>
        </w:rPr>
        <w:t>g</w:t>
      </w:r>
      <w:r w:rsidR="001C31F9">
        <w:rPr>
          <w:lang w:val="sr-Latn-RS"/>
        </w:rPr>
        <w:t xml:space="preserve">odine. </w:t>
      </w:r>
    </w:p>
    <w:p w14:paraId="4625FFBA" w14:textId="3F9BD5DB" w:rsidR="0073190D" w:rsidRDefault="00293455" w:rsidP="00F72853">
      <w:pPr>
        <w:numPr>
          <w:ilvl w:val="0"/>
          <w:numId w:val="41"/>
        </w:numPr>
        <w:spacing w:after="120" w:line="240" w:lineRule="auto"/>
        <w:jc w:val="both"/>
        <w:rPr>
          <w:lang w:val="sr-Latn-RS"/>
        </w:rPr>
      </w:pPr>
      <w:r>
        <w:rPr>
          <w:lang w:val="sr-Latn-RS"/>
        </w:rPr>
        <w:t>Prijave podnešene na bilo koji drugi način (faksom, poštom ili ručnom isporukom) kao i prijave podnešene elektronskim putem na način drugačiji od gore navedenog biće odbijene. Ručno pisane prijave neće biti prihvaćene</w:t>
      </w:r>
    </w:p>
    <w:p w14:paraId="56EC3AE2" w14:textId="5867FFA9" w:rsidR="00293455" w:rsidRDefault="00293455" w:rsidP="00F72853">
      <w:pPr>
        <w:numPr>
          <w:ilvl w:val="0"/>
          <w:numId w:val="41"/>
        </w:numPr>
        <w:spacing w:after="120" w:line="240" w:lineRule="auto"/>
        <w:jc w:val="both"/>
        <w:rPr>
          <w:lang w:val="sr-Latn-RS"/>
        </w:rPr>
      </w:pPr>
      <w:r>
        <w:rPr>
          <w:lang w:val="sr-Latn-RS"/>
        </w:rPr>
        <w:t xml:space="preserve">UNOPS zadržava pravo da zatraži originalne verzije podnetih dokumenata od podnosioca prijave </w:t>
      </w:r>
    </w:p>
    <w:p w14:paraId="65AB1D2B" w14:textId="77777777" w:rsidR="00C27230" w:rsidRDefault="00C27230" w:rsidP="00573797">
      <w:pPr>
        <w:rPr>
          <w:rFonts w:ascii="Corbel" w:hAnsi="Corbel"/>
          <w:color w:val="7F7F7F" w:themeColor="text1" w:themeTint="80"/>
          <w:sz w:val="28"/>
          <w:lang w:val="sr-Latn-RS"/>
        </w:rPr>
      </w:pPr>
    </w:p>
    <w:p w14:paraId="2C846D6E" w14:textId="77777777" w:rsidR="007271D9" w:rsidRDefault="007271D9" w:rsidP="00573797">
      <w:pPr>
        <w:rPr>
          <w:rFonts w:ascii="Corbel" w:hAnsi="Corbel"/>
          <w:color w:val="7F7F7F" w:themeColor="text1" w:themeTint="80"/>
          <w:sz w:val="28"/>
          <w:lang w:val="sr-Latn-RS"/>
        </w:rPr>
      </w:pPr>
    </w:p>
    <w:p w14:paraId="0D8C54BD" w14:textId="77777777" w:rsidR="00DA1C43" w:rsidRPr="00293455" w:rsidRDefault="00DA1C43" w:rsidP="00DC06E5">
      <w:pPr>
        <w:pStyle w:val="Heading3"/>
        <w:numPr>
          <w:ilvl w:val="0"/>
          <w:numId w:val="42"/>
        </w:numPr>
        <w:rPr>
          <w:b/>
          <w:lang w:val="sr-Latn-RS"/>
        </w:rPr>
      </w:pPr>
      <w:r w:rsidRPr="00293455">
        <w:rPr>
          <w:b/>
          <w:lang w:val="sr-Latn-RS"/>
        </w:rPr>
        <w:lastRenderedPageBreak/>
        <w:t>Indikativni vremenski okvir</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0A0" w:firstRow="1" w:lastRow="0" w:firstColumn="1" w:lastColumn="0" w:noHBand="0" w:noVBand="0"/>
      </w:tblPr>
      <w:tblGrid>
        <w:gridCol w:w="6115"/>
        <w:gridCol w:w="3235"/>
      </w:tblGrid>
      <w:tr w:rsidR="00DA1C43" w:rsidRPr="00293455" w14:paraId="76B23D71" w14:textId="77777777" w:rsidTr="002C4557">
        <w:tc>
          <w:tcPr>
            <w:tcW w:w="6115" w:type="dxa"/>
            <w:tcBorders>
              <w:bottom w:val="single" w:sz="12" w:space="0" w:color="9CC2E5"/>
            </w:tcBorders>
          </w:tcPr>
          <w:p w14:paraId="5B9B8497" w14:textId="77777777" w:rsidR="00DA1C43" w:rsidRPr="00293455" w:rsidRDefault="00DA1C43" w:rsidP="004627DE">
            <w:pPr>
              <w:spacing w:after="0" w:line="240" w:lineRule="auto"/>
              <w:jc w:val="both"/>
              <w:rPr>
                <w:b/>
                <w:bCs/>
                <w:lang w:val="sr-Latn-RS"/>
              </w:rPr>
            </w:pPr>
            <w:r w:rsidRPr="00293455">
              <w:rPr>
                <w:b/>
                <w:bCs/>
                <w:lang w:val="sr-Latn-RS"/>
              </w:rPr>
              <w:t>Aktivnost</w:t>
            </w:r>
          </w:p>
        </w:tc>
        <w:tc>
          <w:tcPr>
            <w:tcW w:w="3235" w:type="dxa"/>
            <w:tcBorders>
              <w:bottom w:val="single" w:sz="12" w:space="0" w:color="9CC2E5"/>
            </w:tcBorders>
          </w:tcPr>
          <w:p w14:paraId="783A7BF4" w14:textId="77777777" w:rsidR="00DA1C43" w:rsidRPr="00293455" w:rsidRDefault="00DA1C43" w:rsidP="00766AC8">
            <w:pPr>
              <w:spacing w:after="0" w:line="240" w:lineRule="auto"/>
              <w:rPr>
                <w:b/>
                <w:bCs/>
                <w:lang w:val="sr-Latn-RS"/>
              </w:rPr>
            </w:pPr>
            <w:r w:rsidRPr="00293455">
              <w:rPr>
                <w:b/>
                <w:bCs/>
                <w:lang w:val="sr-Latn-RS"/>
              </w:rPr>
              <w:t>Vremenski okvir/rok</w:t>
            </w:r>
          </w:p>
        </w:tc>
      </w:tr>
      <w:tr w:rsidR="00DA1C43" w:rsidRPr="00293455" w14:paraId="2D507E18" w14:textId="77777777" w:rsidTr="002C4557">
        <w:tc>
          <w:tcPr>
            <w:tcW w:w="6115" w:type="dxa"/>
          </w:tcPr>
          <w:p w14:paraId="2EEC175B" w14:textId="6DDEC383" w:rsidR="00DA1C43" w:rsidRPr="00293455" w:rsidRDefault="00DA1C43" w:rsidP="002021A8">
            <w:pPr>
              <w:spacing w:after="0" w:line="240" w:lineRule="auto"/>
              <w:jc w:val="both"/>
              <w:rPr>
                <w:bCs/>
                <w:lang w:val="sr-Latn-RS"/>
              </w:rPr>
            </w:pPr>
            <w:r w:rsidRPr="00293455">
              <w:rPr>
                <w:bCs/>
                <w:lang w:val="sr-Latn-RS"/>
              </w:rPr>
              <w:t>Objavljivanje Poziva za predloge</w:t>
            </w:r>
          </w:p>
        </w:tc>
        <w:tc>
          <w:tcPr>
            <w:tcW w:w="3235" w:type="dxa"/>
          </w:tcPr>
          <w:p w14:paraId="3248C8EA" w14:textId="77777777" w:rsidR="00DA1C43" w:rsidRPr="00293455" w:rsidRDefault="00DA1C43" w:rsidP="00766AC8">
            <w:pPr>
              <w:spacing w:after="0" w:line="240" w:lineRule="auto"/>
              <w:rPr>
                <w:lang w:val="sr-Latn-RS"/>
              </w:rPr>
            </w:pPr>
            <w:r w:rsidRPr="00293455">
              <w:rPr>
                <w:lang w:val="sr-Latn-RS"/>
              </w:rPr>
              <w:t>22. maj 2018.</w:t>
            </w:r>
          </w:p>
        </w:tc>
      </w:tr>
      <w:tr w:rsidR="00DA1C43" w:rsidRPr="00293455" w14:paraId="4EC1D9AC" w14:textId="77777777" w:rsidTr="002C4557">
        <w:tc>
          <w:tcPr>
            <w:tcW w:w="6115" w:type="dxa"/>
          </w:tcPr>
          <w:p w14:paraId="04022455" w14:textId="5C7035D6" w:rsidR="00DA1C43" w:rsidRPr="00293455" w:rsidRDefault="00DA1C43" w:rsidP="002021A8">
            <w:pPr>
              <w:spacing w:after="0" w:line="240" w:lineRule="auto"/>
              <w:jc w:val="both"/>
              <w:rPr>
                <w:bCs/>
                <w:lang w:val="sr-Latn-RS"/>
              </w:rPr>
            </w:pPr>
            <w:r w:rsidRPr="00293455">
              <w:rPr>
                <w:bCs/>
                <w:lang w:val="sr-Latn-RS"/>
              </w:rPr>
              <w:t xml:space="preserve">Održavanje informativnih </w:t>
            </w:r>
            <w:r w:rsidR="002021A8" w:rsidRPr="00293455">
              <w:rPr>
                <w:bCs/>
                <w:lang w:val="sr-Latn-RS"/>
              </w:rPr>
              <w:t xml:space="preserve">sesija </w:t>
            </w:r>
            <w:r w:rsidRPr="00293455">
              <w:rPr>
                <w:bCs/>
                <w:lang w:val="sr-Latn-RS"/>
              </w:rPr>
              <w:t>u vezi sa Pozivom</w:t>
            </w:r>
          </w:p>
        </w:tc>
        <w:tc>
          <w:tcPr>
            <w:tcW w:w="3235" w:type="dxa"/>
          </w:tcPr>
          <w:p w14:paraId="61387A8A" w14:textId="77777777" w:rsidR="00DA1C43" w:rsidRPr="00293455" w:rsidRDefault="00DA1C43" w:rsidP="00766AC8">
            <w:pPr>
              <w:spacing w:after="0" w:line="240" w:lineRule="auto"/>
              <w:rPr>
                <w:lang w:val="sr-Latn-RS"/>
              </w:rPr>
            </w:pPr>
            <w:r w:rsidRPr="00293455">
              <w:rPr>
                <w:lang w:val="sr-Latn-RS"/>
              </w:rPr>
              <w:t>1–14. jun 2018.</w:t>
            </w:r>
          </w:p>
        </w:tc>
      </w:tr>
      <w:tr w:rsidR="00DA1C43" w:rsidRPr="00293455" w14:paraId="194AC4BB" w14:textId="77777777" w:rsidTr="002C4557">
        <w:tc>
          <w:tcPr>
            <w:tcW w:w="6115" w:type="dxa"/>
          </w:tcPr>
          <w:p w14:paraId="7DC877A5" w14:textId="1468641B" w:rsidR="00DA1C43" w:rsidRPr="00293455" w:rsidRDefault="00DA1C43" w:rsidP="004B1165">
            <w:pPr>
              <w:spacing w:after="0" w:line="240" w:lineRule="auto"/>
              <w:jc w:val="both"/>
              <w:rPr>
                <w:bCs/>
                <w:lang w:val="sr-Latn-RS"/>
              </w:rPr>
            </w:pPr>
            <w:r w:rsidRPr="00293455">
              <w:rPr>
                <w:bCs/>
                <w:lang w:val="sr-Latn-RS"/>
              </w:rPr>
              <w:t>Krajnji rok za podnošenje Koncepata</w:t>
            </w:r>
            <w:r w:rsidR="00B566A3" w:rsidRPr="00293455">
              <w:rPr>
                <w:bCs/>
                <w:lang w:val="sr-Latn-RS"/>
              </w:rPr>
              <w:t xml:space="preserve"> predloga projekta</w:t>
            </w:r>
          </w:p>
        </w:tc>
        <w:tc>
          <w:tcPr>
            <w:tcW w:w="3235" w:type="dxa"/>
          </w:tcPr>
          <w:p w14:paraId="0EA2DED2" w14:textId="77777777" w:rsidR="00DA1C43" w:rsidRPr="00293455" w:rsidRDefault="00DA1C43" w:rsidP="00766AC8">
            <w:pPr>
              <w:spacing w:after="0" w:line="240" w:lineRule="auto"/>
              <w:rPr>
                <w:lang w:val="sr-Latn-RS"/>
              </w:rPr>
            </w:pPr>
            <w:r w:rsidRPr="00293455">
              <w:rPr>
                <w:lang w:val="sr-Latn-RS"/>
              </w:rPr>
              <w:t>6. jul 2018.</w:t>
            </w:r>
          </w:p>
        </w:tc>
      </w:tr>
      <w:tr w:rsidR="00DA1C43" w:rsidRPr="00293455" w14:paraId="1F31F126" w14:textId="77777777" w:rsidTr="002C4557">
        <w:tc>
          <w:tcPr>
            <w:tcW w:w="6115" w:type="dxa"/>
          </w:tcPr>
          <w:p w14:paraId="6469F460" w14:textId="1573F91D" w:rsidR="00DA1C43" w:rsidRPr="00293455" w:rsidRDefault="00DA1C43" w:rsidP="00F14ADC">
            <w:pPr>
              <w:spacing w:after="0" w:line="240" w:lineRule="auto"/>
              <w:rPr>
                <w:bCs/>
                <w:lang w:val="sr-Latn-RS"/>
              </w:rPr>
            </w:pPr>
            <w:r w:rsidRPr="00293455">
              <w:rPr>
                <w:bCs/>
                <w:lang w:val="sr-Latn-RS"/>
              </w:rPr>
              <w:t>Evaluacija kvalifikovanosti kandidata i evaluacija Koncepata</w:t>
            </w:r>
            <w:r w:rsidR="00B566A3" w:rsidRPr="00293455">
              <w:rPr>
                <w:bCs/>
                <w:lang w:val="sr-Latn-RS"/>
              </w:rPr>
              <w:t xml:space="preserve"> predloga projekta</w:t>
            </w:r>
          </w:p>
        </w:tc>
        <w:tc>
          <w:tcPr>
            <w:tcW w:w="3235" w:type="dxa"/>
          </w:tcPr>
          <w:p w14:paraId="4FD0FACA" w14:textId="13F59DA2" w:rsidR="00DA1C43" w:rsidRPr="00293455" w:rsidRDefault="00DA1C43" w:rsidP="002C4557">
            <w:pPr>
              <w:spacing w:after="0" w:line="240" w:lineRule="auto"/>
              <w:rPr>
                <w:lang w:val="sr-Latn-RS"/>
              </w:rPr>
            </w:pPr>
            <w:r w:rsidRPr="00293455">
              <w:rPr>
                <w:lang w:val="sr-Latn-RS"/>
              </w:rPr>
              <w:t>jul–početak avgusta 2018.</w:t>
            </w:r>
          </w:p>
        </w:tc>
      </w:tr>
      <w:tr w:rsidR="00DA1C43" w:rsidRPr="00293455" w14:paraId="714A2982" w14:textId="77777777" w:rsidTr="002C4557">
        <w:tc>
          <w:tcPr>
            <w:tcW w:w="6115" w:type="dxa"/>
          </w:tcPr>
          <w:p w14:paraId="59FD0982" w14:textId="57CE3BCA" w:rsidR="00DA1C43" w:rsidRPr="00293455" w:rsidRDefault="00DA1C43" w:rsidP="00B566A3">
            <w:pPr>
              <w:spacing w:after="0" w:line="240" w:lineRule="auto"/>
              <w:rPr>
                <w:bCs/>
                <w:lang w:val="sr-Latn-RS"/>
              </w:rPr>
            </w:pPr>
            <w:r w:rsidRPr="00293455">
              <w:rPr>
                <w:bCs/>
                <w:lang w:val="sr-Latn-RS"/>
              </w:rPr>
              <w:t xml:space="preserve">Krajni rok za podnošenje kompletnog </w:t>
            </w:r>
            <w:r w:rsidR="00B566A3" w:rsidRPr="00293455">
              <w:rPr>
                <w:bCs/>
                <w:lang w:val="sr-Latn-RS"/>
              </w:rPr>
              <w:t>aplikacionog formulara</w:t>
            </w:r>
          </w:p>
        </w:tc>
        <w:tc>
          <w:tcPr>
            <w:tcW w:w="3235" w:type="dxa"/>
          </w:tcPr>
          <w:p w14:paraId="5B629DBC" w14:textId="77777777" w:rsidR="00DA1C43" w:rsidRPr="00293455" w:rsidRDefault="00DA1C43" w:rsidP="002C4557">
            <w:pPr>
              <w:spacing w:after="0" w:line="240" w:lineRule="auto"/>
              <w:rPr>
                <w:lang w:val="sr-Latn-RS"/>
              </w:rPr>
            </w:pPr>
            <w:r w:rsidRPr="00293455">
              <w:rPr>
                <w:lang w:val="sr-Latn-RS"/>
              </w:rPr>
              <w:t>početak septembra 2018.</w:t>
            </w:r>
          </w:p>
        </w:tc>
      </w:tr>
      <w:tr w:rsidR="00DA1C43" w:rsidRPr="00293455" w14:paraId="0F3FE667" w14:textId="77777777" w:rsidTr="002C4557">
        <w:tc>
          <w:tcPr>
            <w:tcW w:w="6115" w:type="dxa"/>
          </w:tcPr>
          <w:p w14:paraId="452755DD" w14:textId="1BA086AB" w:rsidR="00DA1C43" w:rsidRPr="00293455" w:rsidRDefault="00DA1C43" w:rsidP="00B566A3">
            <w:pPr>
              <w:spacing w:after="0" w:line="240" w:lineRule="auto"/>
              <w:rPr>
                <w:bCs/>
                <w:lang w:val="sr-Latn-RS"/>
              </w:rPr>
            </w:pPr>
            <w:r w:rsidRPr="00293455">
              <w:rPr>
                <w:bCs/>
                <w:lang w:val="sr-Latn-RS"/>
              </w:rPr>
              <w:t xml:space="preserve">Evaluacija </w:t>
            </w:r>
            <w:r w:rsidRPr="00293455">
              <w:rPr>
                <w:lang w:val="sr-Latn-RS"/>
              </w:rPr>
              <w:t>Kompletn</w:t>
            </w:r>
            <w:r w:rsidR="00B566A3" w:rsidRPr="00293455">
              <w:rPr>
                <w:lang w:val="sr-Latn-RS"/>
              </w:rPr>
              <w:t>og aplikacionog formulara</w:t>
            </w:r>
          </w:p>
        </w:tc>
        <w:tc>
          <w:tcPr>
            <w:tcW w:w="3235" w:type="dxa"/>
          </w:tcPr>
          <w:p w14:paraId="1115E005" w14:textId="1B1A4006" w:rsidR="00DA1C43" w:rsidRPr="00293455" w:rsidRDefault="00DA1C43" w:rsidP="002C4557">
            <w:pPr>
              <w:spacing w:after="0" w:line="240" w:lineRule="auto"/>
              <w:rPr>
                <w:lang w:val="sr-Latn-RS"/>
              </w:rPr>
            </w:pPr>
            <w:r w:rsidRPr="00293455">
              <w:rPr>
                <w:lang w:val="sr-Latn-RS"/>
              </w:rPr>
              <w:t>septembar–oktobar 2018.</w:t>
            </w:r>
          </w:p>
        </w:tc>
      </w:tr>
      <w:tr w:rsidR="00DA1C43" w:rsidRPr="00293455" w14:paraId="7353D7C5" w14:textId="77777777" w:rsidTr="002C4557">
        <w:tc>
          <w:tcPr>
            <w:tcW w:w="6115" w:type="dxa"/>
          </w:tcPr>
          <w:p w14:paraId="2176B4F1" w14:textId="785B1BAB" w:rsidR="00DA1C43" w:rsidRPr="00293455" w:rsidRDefault="00DA1C43" w:rsidP="00B566A3">
            <w:pPr>
              <w:spacing w:after="0" w:line="240" w:lineRule="auto"/>
              <w:rPr>
                <w:bCs/>
                <w:lang w:val="sr-Latn-RS"/>
              </w:rPr>
            </w:pPr>
            <w:r w:rsidRPr="00293455">
              <w:rPr>
                <w:bCs/>
                <w:lang w:val="sr-Latn-RS"/>
              </w:rPr>
              <w:t xml:space="preserve">Posete </w:t>
            </w:r>
            <w:r w:rsidR="00B566A3" w:rsidRPr="00293455">
              <w:rPr>
                <w:bCs/>
                <w:lang w:val="sr-Latn-RS"/>
              </w:rPr>
              <w:t xml:space="preserve">lokacijama </w:t>
            </w:r>
            <w:r w:rsidRPr="00293455">
              <w:rPr>
                <w:bCs/>
                <w:lang w:val="sr-Latn-RS"/>
              </w:rPr>
              <w:t xml:space="preserve">u cilju </w:t>
            </w:r>
            <w:r w:rsidR="00B566A3" w:rsidRPr="00293455">
              <w:rPr>
                <w:bCs/>
                <w:lang w:val="sr-Latn-RS"/>
              </w:rPr>
              <w:t xml:space="preserve">upoznavanja i </w:t>
            </w:r>
            <w:r w:rsidRPr="00293455">
              <w:rPr>
                <w:bCs/>
                <w:lang w:val="sr-Latn-RS"/>
              </w:rPr>
              <w:t xml:space="preserve">provere </w:t>
            </w:r>
          </w:p>
        </w:tc>
        <w:tc>
          <w:tcPr>
            <w:tcW w:w="3235" w:type="dxa"/>
          </w:tcPr>
          <w:p w14:paraId="62084BE1" w14:textId="5D3B6D1B" w:rsidR="00DA1C43" w:rsidRPr="00293455" w:rsidRDefault="00DA1C43" w:rsidP="002C4557">
            <w:pPr>
              <w:spacing w:after="0" w:line="240" w:lineRule="auto"/>
              <w:rPr>
                <w:lang w:val="sr-Latn-RS"/>
              </w:rPr>
            </w:pPr>
            <w:r w:rsidRPr="00293455">
              <w:rPr>
                <w:lang w:val="sr-Latn-RS"/>
              </w:rPr>
              <w:t>septembar–oktobar 2018.</w:t>
            </w:r>
          </w:p>
        </w:tc>
      </w:tr>
      <w:tr w:rsidR="00DA1C43" w:rsidRPr="00293455" w14:paraId="2863C1C6" w14:textId="77777777" w:rsidTr="002C4557">
        <w:tc>
          <w:tcPr>
            <w:tcW w:w="6115" w:type="dxa"/>
          </w:tcPr>
          <w:p w14:paraId="72898305" w14:textId="536F0B0E" w:rsidR="00DA1C43" w:rsidRPr="00293455" w:rsidRDefault="00F72853" w:rsidP="00F72853">
            <w:pPr>
              <w:spacing w:after="0" w:line="240" w:lineRule="auto"/>
              <w:rPr>
                <w:bCs/>
                <w:lang w:val="sr-Latn-RS"/>
              </w:rPr>
            </w:pPr>
            <w:r>
              <w:rPr>
                <w:bCs/>
                <w:lang w:val="sr-Latn-RS"/>
              </w:rPr>
              <w:t>Odobrenje U</w:t>
            </w:r>
            <w:r w:rsidR="00DA1C43" w:rsidRPr="00293455">
              <w:rPr>
                <w:bCs/>
                <w:lang w:val="sr-Latn-RS"/>
              </w:rPr>
              <w:t>pravn</w:t>
            </w:r>
            <w:r>
              <w:rPr>
                <w:bCs/>
                <w:lang w:val="sr-Latn-RS"/>
              </w:rPr>
              <w:t>og odbora programa</w:t>
            </w:r>
          </w:p>
        </w:tc>
        <w:tc>
          <w:tcPr>
            <w:tcW w:w="3235" w:type="dxa"/>
          </w:tcPr>
          <w:p w14:paraId="20744ABC" w14:textId="5B56B639" w:rsidR="00DA1C43" w:rsidRPr="00293455" w:rsidRDefault="00DA1C43" w:rsidP="002C4557">
            <w:pPr>
              <w:spacing w:after="0" w:line="240" w:lineRule="auto"/>
              <w:rPr>
                <w:lang w:val="sr-Latn-RS"/>
              </w:rPr>
            </w:pPr>
            <w:r w:rsidRPr="00293455">
              <w:rPr>
                <w:lang w:val="sr-Latn-RS"/>
              </w:rPr>
              <w:t>oktobar–novembar 2018.</w:t>
            </w:r>
          </w:p>
        </w:tc>
      </w:tr>
      <w:tr w:rsidR="00DA1C43" w:rsidRPr="00293455" w14:paraId="0DB4B479" w14:textId="77777777" w:rsidTr="002C4557">
        <w:tc>
          <w:tcPr>
            <w:tcW w:w="6115" w:type="dxa"/>
          </w:tcPr>
          <w:p w14:paraId="160D9A9B" w14:textId="77777777" w:rsidR="00DA1C43" w:rsidRPr="00293455" w:rsidRDefault="00DA1C43" w:rsidP="001D0D1D">
            <w:pPr>
              <w:spacing w:after="0" w:line="240" w:lineRule="auto"/>
              <w:jc w:val="both"/>
              <w:rPr>
                <w:bCs/>
                <w:lang w:val="sr-Latn-RS"/>
              </w:rPr>
            </w:pPr>
            <w:r w:rsidRPr="00293455">
              <w:rPr>
                <w:bCs/>
                <w:lang w:val="sr-Latn-RS"/>
              </w:rPr>
              <w:t xml:space="preserve">Informacije o rezultatima Evaluacije </w:t>
            </w:r>
          </w:p>
        </w:tc>
        <w:tc>
          <w:tcPr>
            <w:tcW w:w="3235" w:type="dxa"/>
          </w:tcPr>
          <w:p w14:paraId="22F0DF56" w14:textId="77777777" w:rsidR="00DA1C43" w:rsidRPr="00293455" w:rsidRDefault="00DA1C43" w:rsidP="006E0BC0">
            <w:pPr>
              <w:spacing w:after="0" w:line="240" w:lineRule="auto"/>
              <w:rPr>
                <w:lang w:val="sr-Latn-RS"/>
              </w:rPr>
            </w:pPr>
            <w:r w:rsidRPr="00293455">
              <w:rPr>
                <w:lang w:val="sr-Latn-RS"/>
              </w:rPr>
              <w:t>početak novembra 2018.</w:t>
            </w:r>
          </w:p>
        </w:tc>
      </w:tr>
      <w:tr w:rsidR="00DA1C43" w:rsidRPr="00293455" w14:paraId="1EDFD495" w14:textId="77777777" w:rsidTr="002C4557">
        <w:tc>
          <w:tcPr>
            <w:tcW w:w="6115" w:type="dxa"/>
          </w:tcPr>
          <w:p w14:paraId="687C2B58" w14:textId="77777777" w:rsidR="00DA1C43" w:rsidRPr="00293455" w:rsidRDefault="00DA1C43" w:rsidP="001D0D1D">
            <w:pPr>
              <w:spacing w:after="0" w:line="240" w:lineRule="auto"/>
              <w:jc w:val="both"/>
              <w:rPr>
                <w:bCs/>
                <w:lang w:val="sr-Latn-RS"/>
              </w:rPr>
            </w:pPr>
            <w:r w:rsidRPr="00293455">
              <w:rPr>
                <w:bCs/>
                <w:lang w:val="sr-Latn-RS"/>
              </w:rPr>
              <w:t>Potpisivanje Ugovora</w:t>
            </w:r>
          </w:p>
        </w:tc>
        <w:tc>
          <w:tcPr>
            <w:tcW w:w="3235" w:type="dxa"/>
          </w:tcPr>
          <w:p w14:paraId="7E97C14E" w14:textId="77777777" w:rsidR="00DA1C43" w:rsidRPr="00293455" w:rsidRDefault="00DA1C43" w:rsidP="002C4557">
            <w:pPr>
              <w:spacing w:after="0" w:line="240" w:lineRule="auto"/>
              <w:rPr>
                <w:lang w:val="sr-Latn-RS"/>
              </w:rPr>
            </w:pPr>
            <w:r w:rsidRPr="00293455">
              <w:rPr>
                <w:lang w:val="sr-Latn-RS"/>
              </w:rPr>
              <w:t>sredina novembra 2018.</w:t>
            </w:r>
          </w:p>
        </w:tc>
      </w:tr>
    </w:tbl>
    <w:p w14:paraId="0BEB2CBA" w14:textId="77777777" w:rsidR="00DA1C43" w:rsidRDefault="00DA1C43">
      <w:pPr>
        <w:rPr>
          <w:lang w:val="sr-Latn-RS"/>
        </w:rPr>
      </w:pPr>
    </w:p>
    <w:p w14:paraId="1067B33C" w14:textId="3AAEF729" w:rsidR="00CB5950" w:rsidRDefault="00CB5950" w:rsidP="00CB5950">
      <w:pPr>
        <w:pStyle w:val="Heading3"/>
        <w:numPr>
          <w:ilvl w:val="0"/>
          <w:numId w:val="2"/>
        </w:numPr>
        <w:rPr>
          <w:rFonts w:ascii="Corbel" w:hAnsi="Corbel"/>
          <w:b/>
          <w:sz w:val="28"/>
          <w:lang w:val="sr-Latn-RS"/>
        </w:rPr>
      </w:pPr>
      <w:r>
        <w:rPr>
          <w:rFonts w:ascii="Corbel" w:hAnsi="Corbel"/>
          <w:b/>
          <w:sz w:val="28"/>
          <w:lang w:val="sr-Latn-RS"/>
        </w:rPr>
        <w:t>Prilozi</w:t>
      </w:r>
    </w:p>
    <w:p w14:paraId="654CA294" w14:textId="77777777" w:rsidR="00CB5950" w:rsidRDefault="00CB5950" w:rsidP="00CB5950">
      <w:pPr>
        <w:rPr>
          <w:lang w:val="sr-Latn-RS"/>
        </w:rPr>
      </w:pPr>
    </w:p>
    <w:p w14:paraId="4805FAEE" w14:textId="0FE0E55C" w:rsidR="00CB5950" w:rsidRDefault="00CB5950" w:rsidP="00CB5950">
      <w:pPr>
        <w:ind w:firstLine="360"/>
        <w:rPr>
          <w:lang w:val="sr-Latn-RS"/>
        </w:rPr>
      </w:pPr>
      <w:r>
        <w:rPr>
          <w:lang w:val="sr-Latn-RS"/>
        </w:rPr>
        <w:t>Aneks A</w:t>
      </w:r>
      <w:r>
        <w:rPr>
          <w:lang w:val="sr-Latn-RS"/>
        </w:rPr>
        <w:tab/>
      </w:r>
      <w:r>
        <w:rPr>
          <w:lang w:val="sr-Latn-RS"/>
        </w:rPr>
        <w:tab/>
        <w:t>Prijavni formular za Koncept predloga projekta</w:t>
      </w:r>
    </w:p>
    <w:p w14:paraId="2C9EED9E" w14:textId="4E3CD421" w:rsidR="00CB5950" w:rsidRDefault="00CB5950" w:rsidP="00CB5950">
      <w:pPr>
        <w:ind w:firstLine="360"/>
        <w:rPr>
          <w:lang w:val="sr-Latn-RS"/>
        </w:rPr>
      </w:pPr>
      <w:r>
        <w:rPr>
          <w:lang w:val="sr-Latn-RS"/>
        </w:rPr>
        <w:t>Aneks B</w:t>
      </w:r>
      <w:r>
        <w:rPr>
          <w:lang w:val="sr-Latn-RS"/>
        </w:rPr>
        <w:tab/>
      </w:r>
      <w:r>
        <w:rPr>
          <w:lang w:val="sr-Latn-RS"/>
        </w:rPr>
        <w:tab/>
        <w:t>Izjava o saglasnosti sa uslovima Poziva</w:t>
      </w:r>
    </w:p>
    <w:p w14:paraId="36A0B497" w14:textId="0A07FB18" w:rsidR="00CB5950" w:rsidRPr="00CB5950" w:rsidRDefault="00CB5950" w:rsidP="00CB5950">
      <w:pPr>
        <w:ind w:firstLine="360"/>
        <w:rPr>
          <w:lang w:val="sr-Latn-RS"/>
        </w:rPr>
      </w:pPr>
      <w:r>
        <w:rPr>
          <w:lang w:val="sr-Latn-RS"/>
        </w:rPr>
        <w:t>Aneks C</w:t>
      </w:r>
      <w:r>
        <w:rPr>
          <w:lang w:val="sr-Latn-RS"/>
        </w:rPr>
        <w:tab/>
      </w:r>
      <w:r>
        <w:rPr>
          <w:lang w:val="sr-Latn-RS"/>
        </w:rPr>
        <w:tab/>
        <w:t>Nacrt Kompletnog aplikacionog formulara</w:t>
      </w:r>
    </w:p>
    <w:p w14:paraId="15E5151D" w14:textId="77777777" w:rsidR="00CB5950" w:rsidRPr="00293455" w:rsidRDefault="00CB5950">
      <w:pPr>
        <w:rPr>
          <w:lang w:val="sr-Latn-RS"/>
        </w:rPr>
      </w:pPr>
    </w:p>
    <w:sectPr w:rsidR="00CB5950" w:rsidRPr="00293455" w:rsidSect="00573797">
      <w:headerReference w:type="default" r:id="rId11"/>
      <w:footerReference w:type="default" r:id="rId12"/>
      <w:pgSz w:w="12240" w:h="15840"/>
      <w:pgMar w:top="270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0363E" w16cid:durableId="1EA3DAFC"/>
  <w16cid:commentId w16cid:paraId="6665797F" w16cid:durableId="1EA3EB39"/>
  <w16cid:commentId w16cid:paraId="025417BA" w16cid:durableId="1EA3EACC"/>
  <w16cid:commentId w16cid:paraId="170A760C" w16cid:durableId="1EA3EAD7"/>
  <w16cid:commentId w16cid:paraId="65BDA481" w16cid:durableId="1EA3EB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D470A" w14:textId="77777777" w:rsidR="00D375C2" w:rsidRDefault="00D375C2" w:rsidP="001339DE">
      <w:pPr>
        <w:spacing w:after="0" w:line="240" w:lineRule="auto"/>
      </w:pPr>
      <w:r>
        <w:separator/>
      </w:r>
    </w:p>
  </w:endnote>
  <w:endnote w:type="continuationSeparator" w:id="0">
    <w:p w14:paraId="79EDC003" w14:textId="77777777" w:rsidR="00D375C2" w:rsidRDefault="00D375C2" w:rsidP="0013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CE">
    <w:altName w:val="Arial"/>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B505F" w14:textId="77777777" w:rsidR="00C03EA8" w:rsidRDefault="00C03EA8">
    <w:pPr>
      <w:pStyle w:val="Footer"/>
      <w:jc w:val="right"/>
    </w:pPr>
    <w:r>
      <w:fldChar w:fldCharType="begin"/>
    </w:r>
    <w:r>
      <w:instrText xml:space="preserve"> PAGE   \* MERGEFORMAT </w:instrText>
    </w:r>
    <w:r>
      <w:fldChar w:fldCharType="separate"/>
    </w:r>
    <w:r w:rsidR="008161F1">
      <w:rPr>
        <w:noProof/>
      </w:rPr>
      <w:t>1</w:t>
    </w:r>
    <w:r>
      <w:rPr>
        <w:noProof/>
      </w:rPr>
      <w:fldChar w:fldCharType="end"/>
    </w:r>
  </w:p>
  <w:p w14:paraId="4F370648" w14:textId="77777777" w:rsidR="00C03EA8" w:rsidRDefault="00C03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70F3" w14:textId="77777777" w:rsidR="00D375C2" w:rsidRDefault="00D375C2" w:rsidP="001339DE">
      <w:pPr>
        <w:spacing w:after="0" w:line="240" w:lineRule="auto"/>
      </w:pPr>
      <w:r>
        <w:separator/>
      </w:r>
    </w:p>
  </w:footnote>
  <w:footnote w:type="continuationSeparator" w:id="0">
    <w:p w14:paraId="1BDC6F12" w14:textId="77777777" w:rsidR="00D375C2" w:rsidRDefault="00D375C2" w:rsidP="001339DE">
      <w:pPr>
        <w:spacing w:after="0" w:line="240" w:lineRule="auto"/>
      </w:pPr>
      <w:r>
        <w:continuationSeparator/>
      </w:r>
    </w:p>
  </w:footnote>
  <w:footnote w:id="1">
    <w:p w14:paraId="480FA18E" w14:textId="23EA29C4" w:rsidR="00C03EA8" w:rsidRDefault="00C03EA8" w:rsidP="000A3658">
      <w:pPr>
        <w:pStyle w:val="FootnoteText"/>
        <w:jc w:val="both"/>
      </w:pPr>
      <w:r w:rsidRPr="000A3658">
        <w:rPr>
          <w:rStyle w:val="FootnoteReference"/>
          <w:sz w:val="18"/>
          <w:szCs w:val="18"/>
          <w:vertAlign w:val="superscript"/>
          <w:lang w:val="sr-Latn-CS"/>
        </w:rPr>
        <w:footnoteRef/>
      </w:r>
      <w:r w:rsidRPr="000A3658">
        <w:rPr>
          <w:sz w:val="18"/>
          <w:szCs w:val="18"/>
          <w:lang w:val="sr-Latn-CS"/>
        </w:rPr>
        <w:t>Program</w:t>
      </w:r>
      <w:r>
        <w:rPr>
          <w:sz w:val="18"/>
          <w:szCs w:val="18"/>
          <w:lang w:val="sr-Latn-CS"/>
        </w:rPr>
        <w:t xml:space="preserve"> je zasnovan na Lokalnom akcionom dokumentu o razvoju Srbije u okviru Instrumenta za pretpristupnu pomoć </w:t>
      </w:r>
      <w:r w:rsidRPr="000A3658">
        <w:rPr>
          <w:sz w:val="18"/>
          <w:szCs w:val="18"/>
          <w:lang w:val="sr-Latn-CS"/>
        </w:rPr>
        <w:t>(IPA)</w:t>
      </w:r>
      <w:r>
        <w:rPr>
          <w:sz w:val="18"/>
          <w:szCs w:val="18"/>
          <w:lang w:val="sr-Latn-CS"/>
        </w:rPr>
        <w:t xml:space="preserve"> za</w:t>
      </w:r>
      <w:r w:rsidRPr="000A3658">
        <w:rPr>
          <w:sz w:val="18"/>
          <w:szCs w:val="18"/>
          <w:lang w:val="sr-Latn-CS"/>
        </w:rPr>
        <w:t xml:space="preserve"> 2016</w:t>
      </w:r>
      <w:r>
        <w:rPr>
          <w:sz w:val="18"/>
          <w:szCs w:val="18"/>
          <w:lang w:val="sr-Latn-CS"/>
        </w:rPr>
        <w:t xml:space="preserve">. </w:t>
      </w:r>
      <w:hyperlink r:id="rId1" w:history="1">
        <w:r w:rsidRPr="000A3658">
          <w:rPr>
            <w:rStyle w:val="Hyperlink"/>
            <w:sz w:val="18"/>
            <w:szCs w:val="18"/>
            <w:lang w:val="sr-Latn-CS"/>
          </w:rPr>
          <w:t>http://europa.rs/eu-assistance-to-serbia/ipa/ipa-2016/?lang=en</w:t>
        </w:r>
      </w:hyperlink>
    </w:p>
  </w:footnote>
  <w:footnote w:id="2">
    <w:p w14:paraId="1AB5A339" w14:textId="1AF92EC6" w:rsidR="00C03EA8" w:rsidRDefault="00C03EA8" w:rsidP="000A3658">
      <w:pPr>
        <w:pStyle w:val="FootnoteText"/>
        <w:jc w:val="both"/>
      </w:pPr>
      <w:r w:rsidRPr="000A3658">
        <w:rPr>
          <w:rStyle w:val="FootnoteReference"/>
          <w:sz w:val="18"/>
          <w:szCs w:val="18"/>
          <w:vertAlign w:val="superscript"/>
          <w:lang w:val="sr-Latn-CS"/>
        </w:rPr>
        <w:footnoteRef/>
      </w:r>
      <w:r w:rsidRPr="000A3658">
        <w:rPr>
          <w:sz w:val="18"/>
          <w:szCs w:val="18"/>
          <w:lang w:val="sr-Latn-CS"/>
        </w:rPr>
        <w:t xml:space="preserve">Četrdeset pet opština su iz treće i četvrte kategorije razvijenosti, a 44 iz prve i druge. </w:t>
      </w:r>
      <w:r>
        <w:rPr>
          <w:sz w:val="18"/>
          <w:szCs w:val="18"/>
          <w:lang w:val="sr-Latn-CS"/>
        </w:rPr>
        <w:t xml:space="preserve">Dva regiona, </w:t>
      </w:r>
      <w:r w:rsidRPr="000A3658">
        <w:rPr>
          <w:sz w:val="18"/>
          <w:szCs w:val="18"/>
          <w:lang w:val="sr-Latn-CS"/>
        </w:rPr>
        <w:t xml:space="preserve">Šumadija </w:t>
      </w:r>
      <w:r>
        <w:rPr>
          <w:sz w:val="18"/>
          <w:szCs w:val="18"/>
          <w:lang w:val="sr-Latn-CS"/>
        </w:rPr>
        <w:t xml:space="preserve">i Zapadna Srbija, odnosno Južna i Istočna </w:t>
      </w:r>
      <w:r w:rsidRPr="000A3658">
        <w:rPr>
          <w:sz w:val="18"/>
          <w:szCs w:val="18"/>
          <w:lang w:val="sr-Latn-CS"/>
        </w:rPr>
        <w:t>Srbi</w:t>
      </w:r>
      <w:r>
        <w:rPr>
          <w:sz w:val="18"/>
          <w:szCs w:val="18"/>
          <w:lang w:val="sr-Latn-CS"/>
        </w:rPr>
        <w:t>j</w:t>
      </w:r>
      <w:r w:rsidRPr="000A3658">
        <w:rPr>
          <w:sz w:val="18"/>
          <w:szCs w:val="18"/>
          <w:lang w:val="sr-Latn-CS"/>
        </w:rPr>
        <w:t>a,</w:t>
      </w:r>
      <w:r>
        <w:rPr>
          <w:sz w:val="18"/>
          <w:szCs w:val="18"/>
          <w:lang w:val="sr-Latn-CS"/>
        </w:rPr>
        <w:t xml:space="preserve"> manje su razvijeni u poređenju sa Beogradom i </w:t>
      </w:r>
      <w:r w:rsidRPr="000A3658">
        <w:rPr>
          <w:sz w:val="18"/>
          <w:szCs w:val="18"/>
          <w:lang w:val="sr-Latn-CS"/>
        </w:rPr>
        <w:t>Vojvodin</w:t>
      </w:r>
      <w:r>
        <w:rPr>
          <w:sz w:val="18"/>
          <w:szCs w:val="18"/>
          <w:lang w:val="sr-Latn-CS"/>
        </w:rPr>
        <w:t>om</w:t>
      </w:r>
      <w:r w:rsidRPr="000A3658">
        <w:rPr>
          <w:sz w:val="18"/>
          <w:szCs w:val="18"/>
          <w:lang w:val="sr-Latn-CS"/>
        </w:rPr>
        <w:t>.</w:t>
      </w:r>
    </w:p>
  </w:footnote>
  <w:footnote w:id="3">
    <w:p w14:paraId="454384FE" w14:textId="09841E52" w:rsidR="00C03EA8" w:rsidRDefault="00C03EA8" w:rsidP="000A3658">
      <w:pPr>
        <w:spacing w:after="0" w:line="240" w:lineRule="auto"/>
        <w:jc w:val="both"/>
      </w:pPr>
      <w:r w:rsidRPr="000A3658">
        <w:rPr>
          <w:rStyle w:val="FootnoteReference"/>
          <w:sz w:val="18"/>
          <w:szCs w:val="18"/>
          <w:vertAlign w:val="superscript"/>
          <w:lang w:val="sr-Latn-CS"/>
        </w:rPr>
        <w:footnoteRef/>
      </w:r>
      <w:r>
        <w:rPr>
          <w:sz w:val="18"/>
          <w:szCs w:val="18"/>
          <w:lang w:val="sr-Latn-CS"/>
        </w:rPr>
        <w:t xml:space="preserve">Poziv je organizovala Delegacija Evropske unije </w:t>
      </w:r>
      <w:r w:rsidRPr="000A3658">
        <w:rPr>
          <w:sz w:val="18"/>
          <w:szCs w:val="18"/>
          <w:lang w:val="sr-Latn-CS"/>
        </w:rPr>
        <w:t xml:space="preserve">(DEU) </w:t>
      </w:r>
      <w:r>
        <w:rPr>
          <w:sz w:val="18"/>
          <w:szCs w:val="18"/>
          <w:lang w:val="sr-Latn-CS"/>
        </w:rPr>
        <w:t xml:space="preserve">u saradnji sa Kancelarijom za evropske integracije Republike Srbije </w:t>
      </w:r>
      <w:r w:rsidRPr="000A3658">
        <w:rPr>
          <w:sz w:val="18"/>
          <w:szCs w:val="18"/>
          <w:lang w:val="sr-Latn-CS"/>
        </w:rPr>
        <w:t xml:space="preserve">(SEIO) </w:t>
      </w:r>
      <w:r>
        <w:rPr>
          <w:sz w:val="18"/>
          <w:szCs w:val="18"/>
          <w:lang w:val="sr-Latn-CS"/>
        </w:rPr>
        <w:t>u j</w:t>
      </w:r>
      <w:r w:rsidRPr="000A3658">
        <w:rPr>
          <w:sz w:val="18"/>
          <w:szCs w:val="18"/>
          <w:lang w:val="sr-Latn-CS"/>
        </w:rPr>
        <w:t>ul</w:t>
      </w:r>
      <w:r>
        <w:rPr>
          <w:sz w:val="18"/>
          <w:szCs w:val="18"/>
          <w:lang w:val="sr-Latn-CS"/>
        </w:rPr>
        <w:t>u</w:t>
      </w:r>
      <w:r w:rsidRPr="000A3658">
        <w:rPr>
          <w:sz w:val="18"/>
          <w:szCs w:val="18"/>
          <w:lang w:val="sr-Latn-CS"/>
        </w:rPr>
        <w:t xml:space="preserve"> 2016.</w:t>
      </w:r>
      <w:r>
        <w:rPr>
          <w:sz w:val="18"/>
          <w:szCs w:val="18"/>
          <w:lang w:val="sr-Latn-CS"/>
        </w:rPr>
        <w:t xml:space="preserve"> Kriterijumi su </w:t>
      </w:r>
      <w:r w:rsidR="001930F0">
        <w:rPr>
          <w:sz w:val="18"/>
          <w:szCs w:val="18"/>
          <w:lang w:val="sr-Latn-CS"/>
        </w:rPr>
        <w:t>se odnosili na odgovarajuće</w:t>
      </w:r>
      <w:r>
        <w:rPr>
          <w:sz w:val="18"/>
          <w:szCs w:val="18"/>
          <w:lang w:val="sr-Latn-CS"/>
        </w:rPr>
        <w:t xml:space="preserve"> administrativne, finansijske i tehničke kapacitete, kao i kriterijume </w:t>
      </w:r>
      <w:r w:rsidR="001930F0">
        <w:rPr>
          <w:sz w:val="18"/>
          <w:szCs w:val="18"/>
          <w:lang w:val="sr-Latn-CS"/>
        </w:rPr>
        <w:t>vezane za</w:t>
      </w:r>
      <w:r>
        <w:rPr>
          <w:sz w:val="18"/>
          <w:szCs w:val="18"/>
          <w:lang w:val="sr-Latn-CS"/>
        </w:rPr>
        <w:t xml:space="preserve"> kvalitet </w:t>
      </w:r>
      <w:r w:rsidR="001930F0">
        <w:rPr>
          <w:sz w:val="18"/>
          <w:szCs w:val="18"/>
          <w:lang w:val="sr-Latn-CS"/>
        </w:rPr>
        <w:t>k</w:t>
      </w:r>
      <w:r>
        <w:rPr>
          <w:sz w:val="18"/>
          <w:szCs w:val="18"/>
          <w:lang w:val="sr-Latn-CS"/>
        </w:rPr>
        <w:t>oncepta, uključujući relevantnost; doslednost u odnosu na ciljeve, rezultate i aktivnosti Akcije, očekivani uticaj; održivost i isplativost</w:t>
      </w:r>
      <w:r w:rsidRPr="000A3658">
        <w:rPr>
          <w:sz w:val="18"/>
          <w:szCs w:val="18"/>
          <w:lang w:val="sr-Latn-CS"/>
        </w:rPr>
        <w:t>.</w:t>
      </w:r>
    </w:p>
  </w:footnote>
  <w:footnote w:id="4">
    <w:p w14:paraId="4A51E275" w14:textId="2C8BEB49" w:rsidR="00C03EA8" w:rsidRDefault="00C03EA8" w:rsidP="000A3658">
      <w:pPr>
        <w:pStyle w:val="FootnoteText"/>
        <w:jc w:val="both"/>
        <w:rPr>
          <w:sz w:val="18"/>
          <w:szCs w:val="18"/>
          <w:lang w:val="sr-Latn-CS"/>
        </w:rPr>
      </w:pPr>
      <w:r w:rsidRPr="000A3658">
        <w:rPr>
          <w:rStyle w:val="FootnoteReference"/>
          <w:sz w:val="18"/>
          <w:szCs w:val="18"/>
          <w:vertAlign w:val="superscript"/>
          <w:lang w:val="sr-Latn-CS"/>
        </w:rPr>
        <w:footnoteRef/>
      </w:r>
      <w:r>
        <w:rPr>
          <w:sz w:val="18"/>
          <w:szCs w:val="18"/>
          <w:lang w:val="sr-Latn-CS"/>
        </w:rPr>
        <w:t>Izraz „</w:t>
      </w:r>
      <w:r w:rsidR="00AE1978">
        <w:rPr>
          <w:sz w:val="18"/>
          <w:szCs w:val="18"/>
          <w:lang w:val="sr-Latn-CS"/>
        </w:rPr>
        <w:t>MSP</w:t>
      </w:r>
      <w:r>
        <w:rPr>
          <w:sz w:val="18"/>
          <w:szCs w:val="18"/>
          <w:lang w:val="sr-Latn-CS"/>
        </w:rPr>
        <w:t xml:space="preserve">“ u ovom Pozivu obuhvata preduzetnike, mikro i mala preduzeća koji su definisani u članu </w:t>
      </w:r>
      <w:r w:rsidRPr="000A3658">
        <w:rPr>
          <w:sz w:val="18"/>
          <w:szCs w:val="18"/>
          <w:lang w:val="sr-Latn-CS"/>
        </w:rPr>
        <w:t xml:space="preserve">6 </w:t>
      </w:r>
      <w:r>
        <w:rPr>
          <w:sz w:val="18"/>
          <w:szCs w:val="18"/>
          <w:lang w:val="sr-Latn-CS"/>
        </w:rPr>
        <w:t>Zakona o računovodstvu dostupnog na:</w:t>
      </w:r>
    </w:p>
    <w:p w14:paraId="426988B5" w14:textId="77777777" w:rsidR="00C03EA8" w:rsidRDefault="00D375C2" w:rsidP="000A3658">
      <w:pPr>
        <w:pStyle w:val="FootnoteText"/>
        <w:jc w:val="both"/>
      </w:pPr>
      <w:hyperlink r:id="rId2" w:history="1">
        <w:r w:rsidR="00C03EA8" w:rsidRPr="000A3658">
          <w:rPr>
            <w:rStyle w:val="Hyperlink"/>
            <w:sz w:val="18"/>
            <w:lang w:val="sr-Latn-CS"/>
          </w:rPr>
          <w:t>http://www.mfin.gov.rs/UserFiles/File/zakoni/2013/ZAKON%20O%20RACUNOVODSTVU.pdf</w:t>
        </w:r>
      </w:hyperlink>
    </w:p>
  </w:footnote>
  <w:footnote w:id="5">
    <w:p w14:paraId="65AE584D" w14:textId="77777777" w:rsidR="00C03EA8" w:rsidRDefault="00C03EA8" w:rsidP="000A3658">
      <w:pPr>
        <w:pStyle w:val="FootnoteText"/>
      </w:pPr>
      <w:r w:rsidRPr="000A3658">
        <w:rPr>
          <w:rStyle w:val="FootnoteReference"/>
          <w:sz w:val="18"/>
          <w:szCs w:val="18"/>
          <w:vertAlign w:val="superscript"/>
          <w:lang w:val="sr-Latn-CS"/>
        </w:rPr>
        <w:footnoteRef/>
      </w:r>
      <w:r>
        <w:rPr>
          <w:sz w:val="18"/>
          <w:szCs w:val="18"/>
          <w:lang w:val="sr-Latn-CS"/>
        </w:rPr>
        <w:t>Dostupno na</w:t>
      </w:r>
      <w:r w:rsidRPr="000A3658">
        <w:rPr>
          <w:sz w:val="18"/>
          <w:szCs w:val="18"/>
          <w:lang w:val="sr-Latn-CS"/>
        </w:rPr>
        <w:t xml:space="preserve">: </w:t>
      </w:r>
      <w:hyperlink r:id="rId3" w:history="1">
        <w:r w:rsidRPr="000A3658">
          <w:rPr>
            <w:rStyle w:val="Hyperlink"/>
            <w:sz w:val="18"/>
            <w:szCs w:val="18"/>
            <w:lang w:val="sr-Latn-CS"/>
          </w:rPr>
          <w:t>http://www.evropa.gov.rs/Documents/Home/DACU/12/74/NAD%202014-2017%20with%20projections%20until%202020%20(english).pdf</w:t>
        </w:r>
      </w:hyperlink>
    </w:p>
  </w:footnote>
  <w:footnote w:id="6">
    <w:p w14:paraId="6C7E65ED" w14:textId="11E62BE1" w:rsidR="00C03EA8" w:rsidRDefault="00C03EA8" w:rsidP="00ED5CE2">
      <w:pPr>
        <w:pStyle w:val="FootnoteText"/>
      </w:pPr>
      <w:r w:rsidRPr="00ED5CE2">
        <w:rPr>
          <w:rStyle w:val="FootnoteReference"/>
          <w:sz w:val="18"/>
          <w:szCs w:val="18"/>
          <w:vertAlign w:val="superscript"/>
          <w:lang w:val="sr-Latn-CS"/>
        </w:rPr>
        <w:footnoteRef/>
      </w:r>
      <w:r w:rsidRPr="00ED5CE2">
        <w:rPr>
          <w:sz w:val="18"/>
          <w:szCs w:val="18"/>
          <w:lang w:val="sr-Latn-CS"/>
        </w:rPr>
        <w:t>Strategija razvoja malih i srednjih preduzeća, preduzetništva i konkurentnosti za period 2015–2020.</w:t>
      </w:r>
      <w:r w:rsidR="008C6E3D">
        <w:rPr>
          <w:sz w:val="18"/>
          <w:szCs w:val="18"/>
          <w:lang w:val="sr-Latn-CS"/>
        </w:rPr>
        <w:t xml:space="preserve"> </w:t>
      </w:r>
      <w:hyperlink r:id="rId4" w:history="1">
        <w:r w:rsidRPr="00ED5CE2">
          <w:rPr>
            <w:rStyle w:val="Hyperlink"/>
            <w:sz w:val="18"/>
            <w:szCs w:val="18"/>
            <w:lang w:val="sr-Latn-CS"/>
          </w:rPr>
          <w:t>http://www.privreda.gov.rs/wp-content/uploads/2017/01/Strategija-I-Plan_eng_poslednje.pdf</w:t>
        </w:r>
      </w:hyperlink>
    </w:p>
  </w:footnote>
  <w:footnote w:id="7">
    <w:p w14:paraId="48191AC6" w14:textId="77777777" w:rsidR="00C03EA8" w:rsidRDefault="00C03EA8" w:rsidP="00ED5CE2">
      <w:pPr>
        <w:pStyle w:val="FootnoteText"/>
      </w:pPr>
      <w:r w:rsidRPr="00ED5CE2">
        <w:rPr>
          <w:rStyle w:val="FootnoteReference"/>
          <w:sz w:val="18"/>
          <w:szCs w:val="18"/>
          <w:vertAlign w:val="superscript"/>
          <w:lang w:val="sr-Latn-CS"/>
        </w:rPr>
        <w:footnoteRef/>
      </w:r>
      <w:hyperlink r:id="rId5" w:history="1">
        <w:r w:rsidRPr="00ED5CE2">
          <w:rPr>
            <w:rStyle w:val="Hyperlink"/>
            <w:sz w:val="18"/>
            <w:szCs w:val="18"/>
            <w:lang w:val="sr-Latn-CS"/>
          </w:rPr>
          <w:t>http://www.privreda.gov.rs/wp-content/uploads/2016/09/Izvestaj-O-Stanju-MSPP-2014-25-Decembar-2015.pdf</w:t>
        </w:r>
      </w:hyperlink>
    </w:p>
  </w:footnote>
  <w:footnote w:id="8">
    <w:p w14:paraId="06250A81" w14:textId="77777777" w:rsidR="00C03EA8" w:rsidRDefault="00C03EA8" w:rsidP="00ED5CE2">
      <w:pPr>
        <w:pStyle w:val="FootnoteText"/>
      </w:pPr>
      <w:r w:rsidRPr="00ED5CE2">
        <w:rPr>
          <w:rStyle w:val="FootnoteReference"/>
          <w:sz w:val="18"/>
          <w:szCs w:val="18"/>
          <w:vertAlign w:val="superscript"/>
          <w:lang w:val="sr-Latn-CS"/>
        </w:rPr>
        <w:footnoteRef/>
      </w:r>
      <w:hyperlink r:id="rId6" w:history="1">
        <w:r w:rsidRPr="00ED5CE2">
          <w:rPr>
            <w:rStyle w:val="Hyperlink"/>
            <w:bCs/>
            <w:sz w:val="18"/>
            <w:szCs w:val="18"/>
            <w:lang w:val="sr-Latn-CS"/>
          </w:rPr>
          <w:t>http://www.mfin.gov.rs/UserFiles/File/strategije/ERP%202017-2019(1).pdf</w:t>
        </w:r>
      </w:hyperlink>
    </w:p>
  </w:footnote>
  <w:footnote w:id="9">
    <w:p w14:paraId="5610B1E8" w14:textId="77777777" w:rsidR="00C03EA8" w:rsidRDefault="00C03EA8" w:rsidP="00393735">
      <w:pPr>
        <w:jc w:val="both"/>
      </w:pPr>
      <w:r w:rsidRPr="00F83491">
        <w:rPr>
          <w:rStyle w:val="FootnoteReference"/>
          <w:sz w:val="18"/>
          <w:szCs w:val="18"/>
          <w:vertAlign w:val="superscript"/>
          <w:lang w:val="sr-Latn-CS"/>
        </w:rPr>
        <w:footnoteRef/>
      </w:r>
      <w:r w:rsidRPr="00F83491">
        <w:rPr>
          <w:sz w:val="18"/>
          <w:szCs w:val="18"/>
          <w:lang w:val="sr-Latn-CS"/>
        </w:rPr>
        <w:t xml:space="preserve">Evaluacioni kriterijumi obuhvataju procenu očekivanog uticaja projekta, uključujući elemente dodate vrednosti, kao što su promocija rodne ravnopravnosti i jednakih mogućnosti, bavljenje potrebama osoba i mladih sa invaliditetom i pravima manjina. Takođe se promoviše integracija mera korporativne društvene odgovornosti (CSR) </w:t>
      </w:r>
      <w:r w:rsidRPr="00B47233">
        <w:rPr>
          <w:sz w:val="18"/>
          <w:szCs w:val="18"/>
          <w:lang w:val="sr-Latn-CS"/>
        </w:rPr>
        <w:t>u intervenciju</w:t>
      </w:r>
      <w:r w:rsidRPr="00F83491">
        <w:rPr>
          <w:sz w:val="18"/>
          <w:szCs w:val="18"/>
          <w:lang w:val="sr-Latn-CS"/>
        </w:rPr>
        <w:t xml:space="preserve">. Preciznije govoreći, kandidati se podstiču da inkorporišu CSR </w:t>
      </w:r>
      <w:r>
        <w:rPr>
          <w:sz w:val="18"/>
          <w:szCs w:val="18"/>
          <w:lang w:val="sr-Latn-CS"/>
        </w:rPr>
        <w:t>u svoje postojeće interne politike i prakse upravljanja, uključujući i one povezane sa ljudskim resursima (stvaranje prihoda, stvaranje poreske obaveze, otvaranje novih radnih mesta, okruženje, dobrotvorne aktivnosti i pomaganje svima kojima je to potrebno itd.) i predlažu se intervencije kroz koje će se dodatno podržati zajednice koje zavise od njihovog osnovnog poslovanja.</w:t>
      </w:r>
    </w:p>
  </w:footnote>
  <w:footnote w:id="10">
    <w:p w14:paraId="5985F037" w14:textId="540B83AC" w:rsidR="00C03EA8" w:rsidRDefault="00C03EA8" w:rsidP="00393735">
      <w:pPr>
        <w:pStyle w:val="CommentText"/>
        <w:jc w:val="both"/>
      </w:pPr>
      <w:r w:rsidRPr="00F83491">
        <w:rPr>
          <w:rStyle w:val="FootnoteReference"/>
          <w:sz w:val="18"/>
          <w:szCs w:val="18"/>
          <w:vertAlign w:val="superscript"/>
          <w:lang w:val="sr-Latn-CS"/>
        </w:rPr>
        <w:footnoteRef/>
      </w:r>
      <w:r>
        <w:rPr>
          <w:sz w:val="18"/>
          <w:szCs w:val="18"/>
          <w:lang w:val="sr-Latn-CS"/>
        </w:rPr>
        <w:t xml:space="preserve">Samo nova oprema podobna je za nabavku prema ovom Pozivu zajedno sa povezanim troškom transporta, carine i osiguranja. Standardni softver smatra se opremom. Nabavka putničkih i transportnih vozila ne kvalifikuje se kao oprema. Minimalna vrednost neophodne opreme trebalo bi da bude najmanje </w:t>
      </w:r>
      <w:r w:rsidRPr="00F83491">
        <w:rPr>
          <w:sz w:val="18"/>
          <w:szCs w:val="18"/>
          <w:lang w:val="sr-Latn-CS"/>
        </w:rPr>
        <w:t>1</w:t>
      </w:r>
      <w:r>
        <w:rPr>
          <w:sz w:val="18"/>
          <w:szCs w:val="18"/>
          <w:lang w:val="sr-Latn-CS"/>
        </w:rPr>
        <w:t>.</w:t>
      </w:r>
      <w:r w:rsidRPr="00F83491">
        <w:rPr>
          <w:sz w:val="18"/>
          <w:szCs w:val="18"/>
          <w:lang w:val="sr-Latn-CS"/>
        </w:rPr>
        <w:t xml:space="preserve">000 </w:t>
      </w:r>
      <w:r>
        <w:rPr>
          <w:sz w:val="18"/>
          <w:szCs w:val="18"/>
          <w:lang w:val="sr-Latn-CS"/>
        </w:rPr>
        <w:t>evra po jedinici.</w:t>
      </w:r>
    </w:p>
  </w:footnote>
  <w:footnote w:id="11">
    <w:p w14:paraId="025D4D25" w14:textId="77777777" w:rsidR="00C03EA8" w:rsidRDefault="00C03EA8" w:rsidP="00B7630F">
      <w:pPr>
        <w:pStyle w:val="FootnoteText"/>
        <w:jc w:val="both"/>
      </w:pPr>
      <w:r w:rsidRPr="00F83491">
        <w:rPr>
          <w:rStyle w:val="FootnoteReference"/>
          <w:sz w:val="18"/>
          <w:vertAlign w:val="superscript"/>
          <w:lang w:val="sr-Latn-CS"/>
        </w:rPr>
        <w:footnoteRef/>
      </w:r>
      <w:r>
        <w:rPr>
          <w:sz w:val="18"/>
          <w:lang w:val="sr-Latn-CS"/>
        </w:rPr>
        <w:t>Usluge koje su podobne prema ovom Pozivu obuhvataju uvođenje međunarodnih standarda kvaliteta, sertifikaciju i atestaciju nabavljene opreme, uvođenje novih tehnoloških procesa, obuku za upotrebu opreme ili poboljšanje tehnoloških procesa, brendiranje proizvoda i razvoj softvera. Minimalna vrednost neophodnih usluga trebalo bi da bude najmanje 500 evra po jedinici.</w:t>
      </w:r>
    </w:p>
  </w:footnote>
  <w:footnote w:id="12">
    <w:p w14:paraId="50652BC7" w14:textId="49E1EF79" w:rsidR="00C03EA8" w:rsidRDefault="00C03EA8" w:rsidP="000A3658">
      <w:pPr>
        <w:pStyle w:val="FootnoteText"/>
        <w:jc w:val="both"/>
      </w:pPr>
      <w:r w:rsidRPr="000A3658">
        <w:rPr>
          <w:rStyle w:val="FootnoteReference"/>
          <w:sz w:val="18"/>
          <w:szCs w:val="18"/>
          <w:vertAlign w:val="superscript"/>
          <w:lang w:val="sr-Latn-CS"/>
        </w:rPr>
        <w:footnoteRef/>
      </w:r>
      <w:r>
        <w:rPr>
          <w:sz w:val="18"/>
          <w:szCs w:val="18"/>
          <w:lang w:val="sr-Latn-CS"/>
        </w:rPr>
        <w:t xml:space="preserve">Kriterijumi za </w:t>
      </w:r>
      <w:r w:rsidR="00A67EA3">
        <w:rPr>
          <w:sz w:val="18"/>
          <w:szCs w:val="18"/>
          <w:lang w:val="sr-Latn-CS"/>
        </w:rPr>
        <w:t xml:space="preserve">brzorastuća i izvozno orijentisana </w:t>
      </w:r>
      <w:r>
        <w:rPr>
          <w:sz w:val="18"/>
          <w:szCs w:val="18"/>
          <w:lang w:val="sr-Latn-CS"/>
        </w:rPr>
        <w:t>preduzeća dati su u Odeljku o kriterijumima opšte kvalifikovanosti</w:t>
      </w:r>
    </w:p>
  </w:footnote>
  <w:footnote w:id="13">
    <w:p w14:paraId="544D58FF" w14:textId="6DA424A9" w:rsidR="00C03EA8" w:rsidRDefault="00C03EA8" w:rsidP="000A3658">
      <w:pPr>
        <w:pStyle w:val="FootnoteText"/>
        <w:jc w:val="both"/>
      </w:pPr>
      <w:r w:rsidRPr="000A3658">
        <w:rPr>
          <w:rStyle w:val="FootnoteReference"/>
          <w:sz w:val="18"/>
          <w:szCs w:val="18"/>
          <w:vertAlign w:val="superscript"/>
          <w:lang w:val="sr-Latn-CS"/>
        </w:rPr>
        <w:footnoteRef/>
      </w:r>
      <w:r>
        <w:rPr>
          <w:sz w:val="18"/>
          <w:szCs w:val="18"/>
          <w:lang w:val="sr-Latn-CS"/>
        </w:rPr>
        <w:t>Pogledati Priručn</w:t>
      </w:r>
      <w:r w:rsidR="008C6E3D">
        <w:rPr>
          <w:sz w:val="18"/>
          <w:szCs w:val="18"/>
          <w:lang w:val="sr-Latn-CS"/>
        </w:rPr>
        <w:t>ik za komunikaciji i vidljivost</w:t>
      </w:r>
      <w:r>
        <w:rPr>
          <w:sz w:val="18"/>
          <w:szCs w:val="18"/>
          <w:lang w:val="sr-Latn-CS"/>
        </w:rPr>
        <w:t xml:space="preserve"> eksterne akcija EU koje je ustanovila i objavila Evropska komisija na:</w:t>
      </w:r>
      <w:hyperlink r:id="rId7" w:history="1">
        <w:r w:rsidRPr="000A3658">
          <w:rPr>
            <w:rStyle w:val="Hyperlink"/>
            <w:sz w:val="18"/>
            <w:szCs w:val="18"/>
            <w:lang w:val="sr-Latn-CS"/>
          </w:rPr>
          <w:t>https://ec.europa.eu/europeaid/node/17974</w:t>
        </w:r>
      </w:hyperlink>
    </w:p>
  </w:footnote>
  <w:footnote w:id="14">
    <w:p w14:paraId="365C081A" w14:textId="07148F43" w:rsidR="00C03EA8" w:rsidRDefault="00C03EA8" w:rsidP="000A3658">
      <w:pPr>
        <w:pStyle w:val="FootnoteText"/>
        <w:jc w:val="both"/>
      </w:pPr>
      <w:r w:rsidRPr="000A3658">
        <w:rPr>
          <w:rStyle w:val="FootnoteReference"/>
          <w:sz w:val="18"/>
          <w:szCs w:val="18"/>
          <w:vertAlign w:val="superscript"/>
          <w:lang w:val="sr-Latn-CS"/>
        </w:rPr>
        <w:footnoteRef/>
      </w:r>
      <w:r w:rsidR="001C1E80">
        <w:rPr>
          <w:sz w:val="18"/>
          <w:szCs w:val="18"/>
          <w:lang w:val="sr-Latn-CS"/>
        </w:rPr>
        <w:t>Privredno d</w:t>
      </w:r>
      <w:r>
        <w:rPr>
          <w:sz w:val="18"/>
          <w:szCs w:val="18"/>
          <w:lang w:val="sr-Latn-CS"/>
        </w:rPr>
        <w:t xml:space="preserve">ruštvo je definisano Zakonom o privrednim društvima </w:t>
      </w:r>
      <w:r w:rsidRPr="000A3658">
        <w:rPr>
          <w:i/>
          <w:sz w:val="18"/>
          <w:szCs w:val="18"/>
          <w:lang w:val="sr-Latn-CS"/>
        </w:rPr>
        <w:t>(</w:t>
      </w:r>
      <w:r>
        <w:rPr>
          <w:i/>
          <w:sz w:val="18"/>
          <w:szCs w:val="18"/>
          <w:lang w:val="sr-Latn-CS"/>
        </w:rPr>
        <w:t xml:space="preserve">„Službeni glasnik Republike Srbije“ br. </w:t>
      </w:r>
      <w:r w:rsidRPr="000A3658">
        <w:rPr>
          <w:i/>
          <w:sz w:val="18"/>
          <w:szCs w:val="18"/>
          <w:lang w:val="sr-Latn-CS"/>
        </w:rPr>
        <w:t xml:space="preserve">36/2011, 99/2011, 83/2014 </w:t>
      </w:r>
      <w:r>
        <w:rPr>
          <w:i/>
          <w:sz w:val="18"/>
          <w:szCs w:val="18"/>
          <w:lang w:val="sr-Latn-CS"/>
        </w:rPr>
        <w:t>i</w:t>
      </w:r>
      <w:r w:rsidRPr="000A3658">
        <w:rPr>
          <w:i/>
          <w:sz w:val="18"/>
          <w:szCs w:val="18"/>
          <w:lang w:val="sr-Latn-CS"/>
        </w:rPr>
        <w:t xml:space="preserve"> 5/2015)</w:t>
      </w:r>
    </w:p>
  </w:footnote>
  <w:footnote w:id="15">
    <w:p w14:paraId="03AFA2A5" w14:textId="77777777" w:rsidR="00C03EA8" w:rsidRDefault="00C03EA8" w:rsidP="000A3658">
      <w:pPr>
        <w:pStyle w:val="FootnoteText"/>
        <w:jc w:val="both"/>
      </w:pPr>
      <w:r w:rsidRPr="000A3658">
        <w:rPr>
          <w:rStyle w:val="FootnoteReference"/>
          <w:sz w:val="18"/>
          <w:szCs w:val="18"/>
          <w:vertAlign w:val="superscript"/>
          <w:lang w:val="sr-Latn-CS"/>
        </w:rPr>
        <w:footnoteRef/>
      </w:r>
      <w:r w:rsidRPr="000A3658">
        <w:rPr>
          <w:sz w:val="18"/>
          <w:szCs w:val="18"/>
          <w:lang w:val="sr-Latn-CS"/>
        </w:rPr>
        <w:t xml:space="preserve">Preduzetnici, mikro i mala preduzeća opisani su u članu 6 </w:t>
      </w:r>
      <w:r>
        <w:rPr>
          <w:sz w:val="18"/>
          <w:szCs w:val="18"/>
          <w:lang w:val="sr-Latn-CS"/>
        </w:rPr>
        <w:t>Zakona o računovodstvu dostupnog na:</w:t>
      </w:r>
      <w:hyperlink r:id="rId8" w:history="1">
        <w:r w:rsidRPr="000A3658">
          <w:rPr>
            <w:rStyle w:val="Hyperlink"/>
            <w:sz w:val="18"/>
            <w:lang w:val="sr-Latn-CS"/>
          </w:rPr>
          <w:t>http://www.mfin.gov.rs/UserFiles/File/zakoni/2013/ZAKON%20O%20RACUNOVODSTVU.pdf</w:t>
        </w:r>
      </w:hyperlink>
    </w:p>
  </w:footnote>
  <w:footnote w:id="16">
    <w:p w14:paraId="03FF3537" w14:textId="72558D86" w:rsidR="00C03EA8" w:rsidRDefault="00C03EA8" w:rsidP="000A3658">
      <w:pPr>
        <w:pStyle w:val="FootnoteText"/>
        <w:jc w:val="both"/>
      </w:pPr>
      <w:r w:rsidRPr="000A3658">
        <w:rPr>
          <w:rStyle w:val="FootnoteReference"/>
          <w:sz w:val="18"/>
          <w:szCs w:val="18"/>
          <w:vertAlign w:val="superscript"/>
          <w:lang w:val="sr-Latn-CS"/>
        </w:rPr>
        <w:footnoteRef/>
      </w:r>
      <w:r>
        <w:rPr>
          <w:sz w:val="18"/>
          <w:szCs w:val="18"/>
          <w:lang w:val="sr-Latn-CS"/>
        </w:rPr>
        <w:t xml:space="preserve">Izvor informacija: Statistički aneks za </w:t>
      </w:r>
      <w:r w:rsidRPr="000A3658">
        <w:rPr>
          <w:sz w:val="18"/>
          <w:szCs w:val="18"/>
          <w:lang w:val="sr-Latn-CS"/>
        </w:rPr>
        <w:t>2017.</w:t>
      </w:r>
      <w:r>
        <w:rPr>
          <w:sz w:val="18"/>
          <w:szCs w:val="18"/>
          <w:lang w:val="sr-Latn-CS"/>
        </w:rPr>
        <w:t xml:space="preserve"> </w:t>
      </w:r>
    </w:p>
  </w:footnote>
  <w:footnote w:id="17">
    <w:p w14:paraId="70A924F7" w14:textId="184AFA9E" w:rsidR="00C03EA8" w:rsidRDefault="00C03EA8" w:rsidP="00463ADC">
      <w:pPr>
        <w:pStyle w:val="FootnoteText"/>
        <w:jc w:val="both"/>
      </w:pPr>
      <w:r w:rsidRPr="00463ADC">
        <w:rPr>
          <w:rStyle w:val="FootnoteReference"/>
          <w:sz w:val="18"/>
          <w:vertAlign w:val="superscript"/>
          <w:lang w:val="sr-Latn-CS"/>
        </w:rPr>
        <w:footnoteRef/>
      </w:r>
      <w:r w:rsidRPr="00463ADC">
        <w:rPr>
          <w:sz w:val="18"/>
          <w:szCs w:val="18"/>
          <w:lang w:val="sr-Latn-CS"/>
        </w:rPr>
        <w:t>Bogatić, Vladimirci, Koceljeva, Krupanj, Loznica, Ljubovija, Mali Zvornik</w:t>
      </w:r>
      <w:r>
        <w:rPr>
          <w:sz w:val="18"/>
          <w:szCs w:val="18"/>
          <w:lang w:val="sr-Latn-CS"/>
        </w:rPr>
        <w:t xml:space="preserve"> i </w:t>
      </w:r>
      <w:r w:rsidRPr="00463ADC">
        <w:rPr>
          <w:sz w:val="18"/>
          <w:szCs w:val="18"/>
          <w:lang w:val="sr-Latn-CS"/>
        </w:rPr>
        <w:t>Šabac</w:t>
      </w:r>
      <w:r>
        <w:rPr>
          <w:sz w:val="18"/>
          <w:szCs w:val="18"/>
          <w:lang w:val="sr-Latn-CS"/>
        </w:rPr>
        <w:t xml:space="preserve"> </w:t>
      </w:r>
      <w:r>
        <w:rPr>
          <w:sz w:val="18"/>
          <w:lang w:val="sr-Latn-CS"/>
        </w:rPr>
        <w:t>u Mačvanskom okrugu</w:t>
      </w:r>
      <w:r w:rsidRPr="00463ADC">
        <w:rPr>
          <w:sz w:val="18"/>
          <w:szCs w:val="18"/>
          <w:lang w:val="sr-Latn-CS"/>
        </w:rPr>
        <w:t>; Valjevo, Lajkovac, Ljig, Mionica, Osečina</w:t>
      </w:r>
      <w:r>
        <w:rPr>
          <w:sz w:val="18"/>
          <w:szCs w:val="18"/>
          <w:lang w:val="sr-Latn-CS"/>
        </w:rPr>
        <w:t xml:space="preserve"> i </w:t>
      </w:r>
      <w:r w:rsidRPr="00463ADC">
        <w:rPr>
          <w:sz w:val="18"/>
          <w:szCs w:val="18"/>
          <w:lang w:val="sr-Latn-CS"/>
        </w:rPr>
        <w:t xml:space="preserve">Ub </w:t>
      </w:r>
      <w:r>
        <w:rPr>
          <w:sz w:val="18"/>
          <w:szCs w:val="18"/>
          <w:lang w:val="sr-Latn-CS"/>
        </w:rPr>
        <w:t>u Kolubarskom okrugu</w:t>
      </w:r>
      <w:r w:rsidRPr="00463ADC">
        <w:rPr>
          <w:sz w:val="18"/>
          <w:szCs w:val="18"/>
          <w:lang w:val="sr-Latn-CS"/>
        </w:rPr>
        <w:t>; Velika Plana, Smederevo</w:t>
      </w:r>
      <w:r>
        <w:rPr>
          <w:sz w:val="18"/>
          <w:szCs w:val="18"/>
          <w:lang w:val="sr-Latn-CS"/>
        </w:rPr>
        <w:t xml:space="preserve"> i Smederevska Palanka u </w:t>
      </w:r>
      <w:r w:rsidRPr="00463ADC">
        <w:rPr>
          <w:sz w:val="18"/>
          <w:szCs w:val="18"/>
          <w:lang w:val="sr-Latn-CS"/>
        </w:rPr>
        <w:t>Podunavsk</w:t>
      </w:r>
      <w:r>
        <w:rPr>
          <w:sz w:val="18"/>
          <w:szCs w:val="18"/>
          <w:lang w:val="sr-Latn-CS"/>
        </w:rPr>
        <w:t>om okrugu</w:t>
      </w:r>
      <w:r w:rsidRPr="00463ADC">
        <w:rPr>
          <w:sz w:val="18"/>
          <w:szCs w:val="18"/>
          <w:lang w:val="sr-Latn-CS"/>
        </w:rPr>
        <w:t>; Veliko Gradište, Golubac, Žabari, Žagubica, Kučevo, Malo Crniće, Petrovac</w:t>
      </w:r>
      <w:r>
        <w:rPr>
          <w:sz w:val="18"/>
          <w:szCs w:val="18"/>
          <w:lang w:val="sr-Latn-CS"/>
        </w:rPr>
        <w:t xml:space="preserve"> i </w:t>
      </w:r>
      <w:r w:rsidRPr="00463ADC">
        <w:rPr>
          <w:sz w:val="18"/>
          <w:szCs w:val="18"/>
          <w:lang w:val="sr-Latn-CS"/>
        </w:rPr>
        <w:t xml:space="preserve">Požarevac </w:t>
      </w:r>
      <w:r>
        <w:rPr>
          <w:sz w:val="18"/>
          <w:szCs w:val="18"/>
          <w:lang w:val="sr-Latn-CS"/>
        </w:rPr>
        <w:t xml:space="preserve">u </w:t>
      </w:r>
      <w:r w:rsidRPr="00463ADC">
        <w:rPr>
          <w:sz w:val="18"/>
          <w:szCs w:val="18"/>
          <w:lang w:val="sr-Latn-CS"/>
        </w:rPr>
        <w:t>Braničevsk</w:t>
      </w:r>
      <w:r>
        <w:rPr>
          <w:sz w:val="18"/>
          <w:szCs w:val="18"/>
          <w:lang w:val="sr-Latn-CS"/>
        </w:rPr>
        <w:t>om okrugu</w:t>
      </w:r>
      <w:r w:rsidRPr="00463ADC">
        <w:rPr>
          <w:sz w:val="18"/>
          <w:szCs w:val="18"/>
          <w:lang w:val="sr-Latn-CS"/>
        </w:rPr>
        <w:t>; Aranđelovac, Batočina, Knić, Lapovo, Rača, Topola</w:t>
      </w:r>
      <w:r>
        <w:rPr>
          <w:sz w:val="18"/>
          <w:szCs w:val="18"/>
          <w:lang w:val="sr-Latn-CS"/>
        </w:rPr>
        <w:t xml:space="preserve"> i </w:t>
      </w:r>
      <w:r w:rsidRPr="00463ADC">
        <w:rPr>
          <w:sz w:val="18"/>
          <w:szCs w:val="18"/>
          <w:lang w:val="sr-Latn-CS"/>
        </w:rPr>
        <w:t xml:space="preserve">Kragujevac </w:t>
      </w:r>
      <w:r>
        <w:rPr>
          <w:sz w:val="18"/>
          <w:szCs w:val="18"/>
          <w:lang w:val="sr-Latn-CS"/>
        </w:rPr>
        <w:t xml:space="preserve">u </w:t>
      </w:r>
      <w:r w:rsidRPr="00463ADC">
        <w:rPr>
          <w:sz w:val="18"/>
          <w:szCs w:val="18"/>
          <w:lang w:val="sr-Latn-CS"/>
        </w:rPr>
        <w:t>Šumadijsk</w:t>
      </w:r>
      <w:r>
        <w:rPr>
          <w:sz w:val="18"/>
          <w:szCs w:val="18"/>
          <w:lang w:val="sr-Latn-CS"/>
        </w:rPr>
        <w:t>om okrugu</w:t>
      </w:r>
      <w:r w:rsidRPr="00463ADC">
        <w:rPr>
          <w:sz w:val="18"/>
          <w:szCs w:val="18"/>
          <w:lang w:val="sr-Latn-CS"/>
        </w:rPr>
        <w:t>; Despotovac, Jagodina, Paraćin, Rekovac, Svilajnac</w:t>
      </w:r>
      <w:r>
        <w:rPr>
          <w:sz w:val="18"/>
          <w:szCs w:val="18"/>
          <w:lang w:val="sr-Latn-CS"/>
        </w:rPr>
        <w:t xml:space="preserve"> i </w:t>
      </w:r>
      <w:r w:rsidRPr="00463ADC">
        <w:rPr>
          <w:sz w:val="18"/>
          <w:szCs w:val="18"/>
          <w:lang w:val="sr-Latn-CS"/>
        </w:rPr>
        <w:t xml:space="preserve">Ćuprija </w:t>
      </w:r>
      <w:r>
        <w:rPr>
          <w:sz w:val="18"/>
          <w:szCs w:val="18"/>
          <w:lang w:val="sr-Latn-CS"/>
        </w:rPr>
        <w:t>u Pomoravskom okrugu</w:t>
      </w:r>
      <w:r w:rsidRPr="00463ADC">
        <w:rPr>
          <w:sz w:val="18"/>
          <w:szCs w:val="18"/>
          <w:lang w:val="sr-Latn-CS"/>
        </w:rPr>
        <w:t>; Bor, Kladovo, Majdanpek</w:t>
      </w:r>
      <w:r>
        <w:rPr>
          <w:sz w:val="18"/>
          <w:szCs w:val="18"/>
          <w:lang w:val="sr-Latn-CS"/>
        </w:rPr>
        <w:t xml:space="preserve"> i </w:t>
      </w:r>
      <w:r w:rsidRPr="00463ADC">
        <w:rPr>
          <w:sz w:val="18"/>
          <w:szCs w:val="18"/>
          <w:lang w:val="sr-Latn-CS"/>
        </w:rPr>
        <w:t>Negotin</w:t>
      </w:r>
      <w:r>
        <w:rPr>
          <w:sz w:val="18"/>
          <w:szCs w:val="18"/>
          <w:lang w:val="sr-Latn-CS"/>
        </w:rPr>
        <w:t xml:space="preserve"> u </w:t>
      </w:r>
      <w:r w:rsidRPr="00463ADC">
        <w:rPr>
          <w:sz w:val="18"/>
          <w:szCs w:val="18"/>
          <w:lang w:val="sr-Latn-CS"/>
        </w:rPr>
        <w:t>Borsk</w:t>
      </w:r>
      <w:r>
        <w:rPr>
          <w:sz w:val="18"/>
          <w:szCs w:val="18"/>
          <w:lang w:val="sr-Latn-CS"/>
        </w:rPr>
        <w:t>om okrugu</w:t>
      </w:r>
      <w:r w:rsidRPr="00463ADC">
        <w:rPr>
          <w:sz w:val="18"/>
          <w:szCs w:val="18"/>
          <w:lang w:val="sr-Latn-CS"/>
        </w:rPr>
        <w:t>; Boljevac, Zaječar, Knjaževac</w:t>
      </w:r>
      <w:r>
        <w:rPr>
          <w:sz w:val="18"/>
          <w:szCs w:val="18"/>
          <w:lang w:val="sr-Latn-CS"/>
        </w:rPr>
        <w:t xml:space="preserve"> i </w:t>
      </w:r>
      <w:r w:rsidRPr="00463ADC">
        <w:rPr>
          <w:sz w:val="18"/>
          <w:szCs w:val="18"/>
          <w:lang w:val="sr-Latn-CS"/>
        </w:rPr>
        <w:t>Sokobanja</w:t>
      </w:r>
      <w:r>
        <w:rPr>
          <w:sz w:val="18"/>
          <w:szCs w:val="18"/>
          <w:lang w:val="sr-Latn-CS"/>
        </w:rPr>
        <w:t xml:space="preserve"> u </w:t>
      </w:r>
      <w:r w:rsidRPr="00463ADC">
        <w:rPr>
          <w:sz w:val="18"/>
          <w:szCs w:val="18"/>
          <w:lang w:val="sr-Latn-CS"/>
        </w:rPr>
        <w:t>Zaječarsk</w:t>
      </w:r>
      <w:r>
        <w:rPr>
          <w:sz w:val="18"/>
          <w:szCs w:val="18"/>
          <w:lang w:val="sr-Latn-CS"/>
        </w:rPr>
        <w:t>om okrugu;</w:t>
      </w:r>
      <w:r w:rsidRPr="00463ADC">
        <w:rPr>
          <w:sz w:val="18"/>
          <w:szCs w:val="18"/>
          <w:lang w:val="sr-Latn-CS"/>
        </w:rPr>
        <w:t xml:space="preserve"> Arilje, Bajina Bašta, Kosjerić, Nova Varoš, Požega, Priboj, Prijepolje, Sjenica, Užice</w:t>
      </w:r>
      <w:r>
        <w:rPr>
          <w:sz w:val="18"/>
          <w:szCs w:val="18"/>
          <w:lang w:val="sr-Latn-CS"/>
        </w:rPr>
        <w:t xml:space="preserve"> i </w:t>
      </w:r>
      <w:r w:rsidRPr="00463ADC">
        <w:rPr>
          <w:sz w:val="18"/>
          <w:szCs w:val="18"/>
          <w:lang w:val="sr-Latn-CS"/>
        </w:rPr>
        <w:t>Čajetina</w:t>
      </w:r>
      <w:r>
        <w:rPr>
          <w:sz w:val="18"/>
          <w:szCs w:val="18"/>
          <w:lang w:val="sr-Latn-CS"/>
        </w:rPr>
        <w:t xml:space="preserve"> u </w:t>
      </w:r>
      <w:r w:rsidRPr="00463ADC">
        <w:rPr>
          <w:sz w:val="18"/>
          <w:szCs w:val="18"/>
          <w:lang w:val="sr-Latn-CS"/>
        </w:rPr>
        <w:t>Zlatiborsk</w:t>
      </w:r>
      <w:r>
        <w:rPr>
          <w:sz w:val="18"/>
          <w:szCs w:val="18"/>
          <w:lang w:val="sr-Latn-CS"/>
        </w:rPr>
        <w:t>om okrugu;</w:t>
      </w:r>
      <w:r w:rsidRPr="00463ADC">
        <w:rPr>
          <w:sz w:val="18"/>
          <w:szCs w:val="18"/>
          <w:lang w:val="sr-Latn-CS"/>
        </w:rPr>
        <w:t xml:space="preserve"> Gornji Milanovac, Ivanjica, Lučani</w:t>
      </w:r>
      <w:r>
        <w:rPr>
          <w:sz w:val="18"/>
          <w:szCs w:val="18"/>
          <w:lang w:val="sr-Latn-CS"/>
        </w:rPr>
        <w:t xml:space="preserve"> i </w:t>
      </w:r>
      <w:r w:rsidRPr="00463ADC">
        <w:rPr>
          <w:sz w:val="18"/>
          <w:szCs w:val="18"/>
          <w:lang w:val="sr-Latn-CS"/>
        </w:rPr>
        <w:t>Čačak</w:t>
      </w:r>
      <w:r>
        <w:rPr>
          <w:sz w:val="18"/>
          <w:szCs w:val="18"/>
          <w:lang w:val="sr-Latn-CS"/>
        </w:rPr>
        <w:t xml:space="preserve"> u </w:t>
      </w:r>
      <w:r w:rsidRPr="00463ADC">
        <w:rPr>
          <w:sz w:val="18"/>
          <w:szCs w:val="18"/>
          <w:lang w:val="sr-Latn-CS"/>
        </w:rPr>
        <w:t>Moravičk</w:t>
      </w:r>
      <w:r>
        <w:rPr>
          <w:sz w:val="18"/>
          <w:szCs w:val="18"/>
          <w:lang w:val="sr-Latn-CS"/>
        </w:rPr>
        <w:t>om okrugu;</w:t>
      </w:r>
      <w:r w:rsidRPr="00463ADC">
        <w:rPr>
          <w:sz w:val="18"/>
          <w:szCs w:val="18"/>
          <w:lang w:val="sr-Latn-CS"/>
        </w:rPr>
        <w:t xml:space="preserve"> Vrnjačka Banja, Kraljevo, Novi Pazar, Raška</w:t>
      </w:r>
      <w:r>
        <w:rPr>
          <w:sz w:val="18"/>
          <w:szCs w:val="18"/>
          <w:lang w:val="sr-Latn-CS"/>
        </w:rPr>
        <w:t xml:space="preserve"> i </w:t>
      </w:r>
      <w:r w:rsidRPr="00463ADC">
        <w:rPr>
          <w:sz w:val="18"/>
          <w:szCs w:val="18"/>
          <w:lang w:val="sr-Latn-CS"/>
        </w:rPr>
        <w:t>Tutin</w:t>
      </w:r>
      <w:r>
        <w:rPr>
          <w:sz w:val="18"/>
          <w:szCs w:val="18"/>
          <w:lang w:val="sr-Latn-CS"/>
        </w:rPr>
        <w:t xml:space="preserve"> u </w:t>
      </w:r>
      <w:r w:rsidRPr="00463ADC">
        <w:rPr>
          <w:sz w:val="18"/>
          <w:szCs w:val="18"/>
          <w:lang w:val="sr-Latn-CS"/>
        </w:rPr>
        <w:t>Rašk</w:t>
      </w:r>
      <w:r>
        <w:rPr>
          <w:sz w:val="18"/>
          <w:szCs w:val="18"/>
          <w:lang w:val="sr-Latn-CS"/>
        </w:rPr>
        <w:t>om okrugu;</w:t>
      </w:r>
      <w:r w:rsidRPr="00463ADC">
        <w:rPr>
          <w:sz w:val="18"/>
          <w:szCs w:val="18"/>
          <w:lang w:val="sr-Latn-CS"/>
        </w:rPr>
        <w:t xml:space="preserve"> Aleksandrovac, Brus, Varvarin, Kruševac, Trstenik</w:t>
      </w:r>
      <w:r>
        <w:rPr>
          <w:sz w:val="18"/>
          <w:szCs w:val="18"/>
          <w:lang w:val="sr-Latn-CS"/>
        </w:rPr>
        <w:t xml:space="preserve"> i </w:t>
      </w:r>
      <w:r w:rsidRPr="00463ADC">
        <w:rPr>
          <w:sz w:val="18"/>
          <w:szCs w:val="18"/>
          <w:lang w:val="sr-Latn-CS"/>
        </w:rPr>
        <w:t>Ćićevac</w:t>
      </w:r>
      <w:r>
        <w:rPr>
          <w:sz w:val="18"/>
          <w:szCs w:val="18"/>
          <w:lang w:val="sr-Latn-CS"/>
        </w:rPr>
        <w:t xml:space="preserve"> u </w:t>
      </w:r>
      <w:r w:rsidRPr="00463ADC">
        <w:rPr>
          <w:sz w:val="18"/>
          <w:szCs w:val="18"/>
          <w:lang w:val="sr-Latn-CS"/>
        </w:rPr>
        <w:t>Rasinsk</w:t>
      </w:r>
      <w:r>
        <w:rPr>
          <w:sz w:val="18"/>
          <w:szCs w:val="18"/>
          <w:lang w:val="sr-Latn-CS"/>
        </w:rPr>
        <w:t>om okrugu;</w:t>
      </w:r>
      <w:r w:rsidRPr="00463ADC">
        <w:rPr>
          <w:sz w:val="18"/>
          <w:szCs w:val="18"/>
          <w:lang w:val="sr-Latn-CS"/>
        </w:rPr>
        <w:t xml:space="preserve"> Aleksinac, Gadžin Han, Doljevac, Merošina, Ražanj</w:t>
      </w:r>
      <w:r>
        <w:rPr>
          <w:sz w:val="18"/>
          <w:szCs w:val="18"/>
          <w:lang w:val="sr-Latn-CS"/>
        </w:rPr>
        <w:t>,</w:t>
      </w:r>
      <w:r w:rsidRPr="00463ADC">
        <w:rPr>
          <w:sz w:val="18"/>
          <w:szCs w:val="18"/>
          <w:lang w:val="sr-Latn-CS"/>
        </w:rPr>
        <w:t xml:space="preserve"> Svrljig</w:t>
      </w:r>
      <w:r>
        <w:rPr>
          <w:sz w:val="18"/>
          <w:szCs w:val="18"/>
          <w:lang w:val="sr-Latn-CS"/>
        </w:rPr>
        <w:t xml:space="preserve"> i </w:t>
      </w:r>
      <w:r w:rsidRPr="00463ADC">
        <w:rPr>
          <w:sz w:val="18"/>
          <w:szCs w:val="18"/>
          <w:lang w:val="sr-Latn-CS"/>
        </w:rPr>
        <w:t>Niš</w:t>
      </w:r>
      <w:r>
        <w:rPr>
          <w:sz w:val="18"/>
          <w:szCs w:val="18"/>
          <w:lang w:val="sr-Latn-CS"/>
        </w:rPr>
        <w:t xml:space="preserve"> u </w:t>
      </w:r>
      <w:r w:rsidRPr="00463ADC">
        <w:rPr>
          <w:sz w:val="18"/>
          <w:szCs w:val="18"/>
          <w:lang w:val="sr-Latn-CS"/>
        </w:rPr>
        <w:t>Nišavsk</w:t>
      </w:r>
      <w:r>
        <w:rPr>
          <w:sz w:val="18"/>
          <w:szCs w:val="18"/>
          <w:lang w:val="sr-Latn-CS"/>
        </w:rPr>
        <w:t>om okrugu;</w:t>
      </w:r>
      <w:r w:rsidRPr="00463ADC">
        <w:rPr>
          <w:sz w:val="18"/>
          <w:szCs w:val="18"/>
          <w:lang w:val="sr-Latn-CS"/>
        </w:rPr>
        <w:t xml:space="preserve"> Blace, Žitorađa, Kuršumlija</w:t>
      </w:r>
      <w:r>
        <w:rPr>
          <w:sz w:val="18"/>
          <w:szCs w:val="18"/>
          <w:lang w:val="sr-Latn-CS"/>
        </w:rPr>
        <w:t xml:space="preserve"> i </w:t>
      </w:r>
      <w:r w:rsidRPr="00463ADC">
        <w:rPr>
          <w:sz w:val="18"/>
          <w:szCs w:val="18"/>
          <w:lang w:val="sr-Latn-CS"/>
        </w:rPr>
        <w:t>Prokuplje</w:t>
      </w:r>
      <w:r>
        <w:rPr>
          <w:sz w:val="18"/>
          <w:szCs w:val="18"/>
          <w:lang w:val="sr-Latn-CS"/>
        </w:rPr>
        <w:t xml:space="preserve"> u </w:t>
      </w:r>
      <w:r w:rsidRPr="00463ADC">
        <w:rPr>
          <w:sz w:val="18"/>
          <w:szCs w:val="18"/>
          <w:lang w:val="sr-Latn-CS"/>
        </w:rPr>
        <w:t>Topličk</w:t>
      </w:r>
      <w:r>
        <w:rPr>
          <w:sz w:val="18"/>
          <w:szCs w:val="18"/>
          <w:lang w:val="sr-Latn-CS"/>
        </w:rPr>
        <w:t>om okrugu;</w:t>
      </w:r>
      <w:r w:rsidRPr="00463ADC">
        <w:rPr>
          <w:sz w:val="18"/>
          <w:szCs w:val="18"/>
          <w:lang w:val="sr-Latn-CS"/>
        </w:rPr>
        <w:t xml:space="preserve"> Babušnica, Bela Palanka, Dimitrovgrad</w:t>
      </w:r>
      <w:r>
        <w:rPr>
          <w:sz w:val="18"/>
          <w:szCs w:val="18"/>
          <w:lang w:val="sr-Latn-CS"/>
        </w:rPr>
        <w:t xml:space="preserve"> i </w:t>
      </w:r>
      <w:r w:rsidRPr="00463ADC">
        <w:rPr>
          <w:sz w:val="18"/>
          <w:szCs w:val="18"/>
          <w:lang w:val="sr-Latn-CS"/>
        </w:rPr>
        <w:t>Pirot</w:t>
      </w:r>
      <w:r>
        <w:rPr>
          <w:sz w:val="18"/>
          <w:szCs w:val="18"/>
          <w:lang w:val="sr-Latn-CS"/>
        </w:rPr>
        <w:t xml:space="preserve"> u </w:t>
      </w:r>
      <w:r w:rsidRPr="00463ADC">
        <w:rPr>
          <w:sz w:val="18"/>
          <w:szCs w:val="18"/>
          <w:lang w:val="sr-Latn-CS"/>
        </w:rPr>
        <w:t>Pirotsk</w:t>
      </w:r>
      <w:r>
        <w:rPr>
          <w:sz w:val="18"/>
          <w:szCs w:val="18"/>
          <w:lang w:val="sr-Latn-CS"/>
        </w:rPr>
        <w:t>om okrugu;</w:t>
      </w:r>
      <w:r w:rsidRPr="00463ADC">
        <w:rPr>
          <w:sz w:val="18"/>
          <w:szCs w:val="18"/>
          <w:lang w:val="sr-Latn-CS"/>
        </w:rPr>
        <w:t xml:space="preserve"> Bojnik, Vlasotince, Lebane, Leskovac, Medveđa</w:t>
      </w:r>
      <w:r>
        <w:rPr>
          <w:sz w:val="18"/>
          <w:szCs w:val="18"/>
          <w:lang w:val="sr-Latn-CS"/>
        </w:rPr>
        <w:t xml:space="preserve"> i </w:t>
      </w:r>
      <w:r w:rsidRPr="00463ADC">
        <w:rPr>
          <w:sz w:val="18"/>
          <w:szCs w:val="18"/>
          <w:lang w:val="sr-Latn-CS"/>
        </w:rPr>
        <w:t>Crna Trava</w:t>
      </w:r>
      <w:r>
        <w:rPr>
          <w:sz w:val="18"/>
          <w:szCs w:val="18"/>
          <w:lang w:val="sr-Latn-CS"/>
        </w:rPr>
        <w:t xml:space="preserve"> u </w:t>
      </w:r>
      <w:r w:rsidRPr="00463ADC">
        <w:rPr>
          <w:sz w:val="18"/>
          <w:szCs w:val="18"/>
          <w:lang w:val="sr-Latn-CS"/>
        </w:rPr>
        <w:t>Jablaničk</w:t>
      </w:r>
      <w:r>
        <w:rPr>
          <w:sz w:val="18"/>
          <w:szCs w:val="18"/>
          <w:lang w:val="sr-Latn-CS"/>
        </w:rPr>
        <w:t>om okrugu;</w:t>
      </w:r>
      <w:r w:rsidRPr="00463ADC">
        <w:rPr>
          <w:sz w:val="18"/>
          <w:szCs w:val="18"/>
          <w:lang w:val="sr-Latn-CS"/>
        </w:rPr>
        <w:t xml:space="preserve"> Bosilegrad, Bujanovac, Vladičin Han, Vranje, Preševo, Surdulica</w:t>
      </w:r>
      <w:r>
        <w:rPr>
          <w:sz w:val="18"/>
          <w:szCs w:val="18"/>
          <w:lang w:val="sr-Latn-CS"/>
        </w:rPr>
        <w:t xml:space="preserve"> i </w:t>
      </w:r>
      <w:r w:rsidRPr="00463ADC">
        <w:rPr>
          <w:sz w:val="18"/>
          <w:szCs w:val="18"/>
          <w:lang w:val="sr-Latn-CS"/>
        </w:rPr>
        <w:t>Trgovište</w:t>
      </w:r>
      <w:r>
        <w:rPr>
          <w:sz w:val="18"/>
          <w:szCs w:val="18"/>
          <w:lang w:val="sr-Latn-CS"/>
        </w:rPr>
        <w:t xml:space="preserve"> u </w:t>
      </w:r>
      <w:r w:rsidRPr="00463ADC">
        <w:rPr>
          <w:sz w:val="18"/>
          <w:szCs w:val="18"/>
          <w:lang w:val="sr-Latn-CS"/>
        </w:rPr>
        <w:t>Pčinjsk</w:t>
      </w:r>
      <w:r>
        <w:rPr>
          <w:sz w:val="18"/>
          <w:szCs w:val="18"/>
          <w:lang w:val="sr-Latn-CS"/>
        </w:rPr>
        <w:t xml:space="preserve">om okrugu </w:t>
      </w:r>
    </w:p>
  </w:footnote>
  <w:footnote w:id="18">
    <w:p w14:paraId="23FC1B75" w14:textId="77777777" w:rsidR="00C03EA8" w:rsidRDefault="00C03EA8" w:rsidP="00463ADC">
      <w:pPr>
        <w:pStyle w:val="FootnoteText"/>
        <w:jc w:val="both"/>
      </w:pPr>
      <w:r w:rsidRPr="00463ADC">
        <w:rPr>
          <w:rStyle w:val="FootnoteReference"/>
          <w:sz w:val="18"/>
          <w:szCs w:val="18"/>
          <w:vertAlign w:val="superscript"/>
          <w:lang w:val="sr-Latn-CS"/>
        </w:rPr>
        <w:footnoteRef/>
      </w:r>
      <w:r w:rsidRPr="00463ADC">
        <w:rPr>
          <w:sz w:val="18"/>
          <w:szCs w:val="18"/>
          <w:lang w:val="sr-Latn-CS"/>
        </w:rPr>
        <w:t xml:space="preserve">Izvor informacija: </w:t>
      </w:r>
      <w:r>
        <w:rPr>
          <w:sz w:val="18"/>
          <w:szCs w:val="18"/>
          <w:lang w:val="sr-Latn-CS"/>
        </w:rPr>
        <w:t>overena fotokopija registracionih dokumenata u Agenciji za privredne registre Srbije (APR</w:t>
      </w:r>
      <w:r w:rsidRPr="00463ADC">
        <w:rPr>
          <w:bCs/>
          <w:iCs/>
          <w:sz w:val="18"/>
          <w:szCs w:val="18"/>
          <w:lang w:val="sr-Latn-CS"/>
        </w:rPr>
        <w:t>)</w:t>
      </w:r>
    </w:p>
  </w:footnote>
  <w:footnote w:id="19">
    <w:p w14:paraId="19B61792" w14:textId="77777777" w:rsidR="00C03EA8" w:rsidRDefault="00C03EA8" w:rsidP="00463ADC">
      <w:pPr>
        <w:pStyle w:val="FootnoteText"/>
        <w:jc w:val="both"/>
      </w:pPr>
      <w:r w:rsidRPr="00463ADC">
        <w:rPr>
          <w:rStyle w:val="FootnoteReference"/>
          <w:sz w:val="18"/>
          <w:szCs w:val="18"/>
          <w:vertAlign w:val="superscript"/>
          <w:lang w:val="sr-Latn-CS"/>
        </w:rPr>
        <w:footnoteRef/>
      </w:r>
      <w:r>
        <w:rPr>
          <w:sz w:val="18"/>
          <w:szCs w:val="18"/>
          <w:lang w:val="sr-Latn-CS"/>
        </w:rPr>
        <w:t>H</w:t>
      </w:r>
      <w:r w:rsidRPr="00463ADC">
        <w:rPr>
          <w:sz w:val="18"/>
          <w:szCs w:val="18"/>
          <w:lang w:val="sr-Latn-CS"/>
        </w:rPr>
        <w:t>otel</w:t>
      </w:r>
      <w:r>
        <w:rPr>
          <w:sz w:val="18"/>
          <w:szCs w:val="18"/>
          <w:lang w:val="sr-Latn-CS"/>
        </w:rPr>
        <w:t>i i mali smeštajni objekti kvalifikovaće se za nabavku industrijske opreme, a ne nameštaja ili malih aparata za domaćinstvo (bele tehnike)</w:t>
      </w:r>
    </w:p>
  </w:footnote>
  <w:footnote w:id="20">
    <w:p w14:paraId="79B2FB20" w14:textId="2DB51D24" w:rsidR="00C03EA8" w:rsidRDefault="00C03EA8" w:rsidP="00463ADC">
      <w:pPr>
        <w:pStyle w:val="FootnoteText"/>
        <w:jc w:val="both"/>
      </w:pPr>
      <w:r w:rsidRPr="00463ADC">
        <w:rPr>
          <w:rStyle w:val="FootnoteReference"/>
          <w:sz w:val="18"/>
          <w:szCs w:val="18"/>
          <w:vertAlign w:val="superscript"/>
          <w:lang w:val="sr-Latn-CS"/>
        </w:rPr>
        <w:footnoteRef/>
      </w:r>
      <w:r>
        <w:rPr>
          <w:sz w:val="18"/>
          <w:szCs w:val="18"/>
          <w:lang w:val="sr-Latn-CS"/>
        </w:rPr>
        <w:t>Neophodan je m</w:t>
      </w:r>
      <w:r w:rsidRPr="00463ADC">
        <w:rPr>
          <w:sz w:val="18"/>
          <w:szCs w:val="18"/>
          <w:lang w:val="sr-Latn-CS"/>
        </w:rPr>
        <w:t xml:space="preserve">inimum 51% </w:t>
      </w:r>
      <w:r>
        <w:rPr>
          <w:sz w:val="18"/>
          <w:szCs w:val="18"/>
          <w:lang w:val="sr-Latn-CS"/>
        </w:rPr>
        <w:t>domaćeg privatnog vlasništva</w:t>
      </w:r>
      <w:r w:rsidRPr="00463ADC">
        <w:rPr>
          <w:sz w:val="18"/>
          <w:szCs w:val="18"/>
          <w:lang w:val="sr-Latn-CS"/>
        </w:rPr>
        <w:t xml:space="preserve">. </w:t>
      </w:r>
      <w:r>
        <w:rPr>
          <w:sz w:val="18"/>
          <w:szCs w:val="18"/>
          <w:lang w:val="sr-Latn-CS"/>
        </w:rPr>
        <w:t>Izvori informacija</w:t>
      </w:r>
      <w:r w:rsidRPr="00463ADC">
        <w:rPr>
          <w:sz w:val="18"/>
          <w:szCs w:val="18"/>
          <w:lang w:val="sr-Latn-CS"/>
        </w:rPr>
        <w:t xml:space="preserve">: </w:t>
      </w:r>
      <w:r>
        <w:rPr>
          <w:sz w:val="18"/>
          <w:szCs w:val="18"/>
          <w:lang w:val="sr-Latn-CS"/>
        </w:rPr>
        <w:t>za preduzetnike: overena fotokopija registracionih dokumenata u Agenciji za privredne registre Srbije</w:t>
      </w:r>
      <w:r w:rsidRPr="00463ADC">
        <w:rPr>
          <w:sz w:val="18"/>
          <w:szCs w:val="18"/>
          <w:lang w:val="sr-Latn-CS"/>
        </w:rPr>
        <w:t xml:space="preserve"> (</w:t>
      </w:r>
      <w:r>
        <w:rPr>
          <w:sz w:val="18"/>
          <w:szCs w:val="18"/>
          <w:lang w:val="sr-Latn-CS"/>
        </w:rPr>
        <w:t>APR</w:t>
      </w:r>
      <w:r w:rsidRPr="00463ADC">
        <w:rPr>
          <w:sz w:val="18"/>
          <w:szCs w:val="18"/>
          <w:lang w:val="sr-Latn-CS"/>
        </w:rPr>
        <w:t>)</w:t>
      </w:r>
      <w:r>
        <w:rPr>
          <w:sz w:val="18"/>
          <w:szCs w:val="18"/>
          <w:lang w:val="sr-Latn-CS"/>
        </w:rPr>
        <w:t xml:space="preserve"> i fotokopija lične karte; za privredna društva: Osnovački akt </w:t>
      </w:r>
      <w:r w:rsidR="00FD6C58">
        <w:rPr>
          <w:sz w:val="18"/>
          <w:szCs w:val="18"/>
          <w:lang w:val="sr-Latn-CS"/>
        </w:rPr>
        <w:t xml:space="preserve">privrednog </w:t>
      </w:r>
      <w:r>
        <w:rPr>
          <w:sz w:val="18"/>
          <w:szCs w:val="18"/>
          <w:lang w:val="sr-Latn-CS"/>
        </w:rPr>
        <w:t>društva (Odluka o osnivanju ili Sporazum o saradnji sa svim pripadajućim amandmanima</w:t>
      </w:r>
      <w:r w:rsidRPr="00463ADC">
        <w:rPr>
          <w:sz w:val="18"/>
          <w:szCs w:val="18"/>
          <w:lang w:val="sr-Latn-CS"/>
        </w:rPr>
        <w:t xml:space="preserve">), </w:t>
      </w:r>
      <w:r>
        <w:rPr>
          <w:sz w:val="18"/>
          <w:szCs w:val="18"/>
          <w:lang w:val="sr-Latn-CS"/>
        </w:rPr>
        <w:t>overena fotokopija registracionih dokumenata u Agenciji za privredne registre Srbije</w:t>
      </w:r>
      <w:r w:rsidRPr="00463ADC">
        <w:rPr>
          <w:sz w:val="18"/>
          <w:szCs w:val="18"/>
          <w:lang w:val="sr-Latn-CS"/>
        </w:rPr>
        <w:t xml:space="preserve"> (</w:t>
      </w:r>
      <w:r>
        <w:rPr>
          <w:sz w:val="18"/>
          <w:szCs w:val="18"/>
          <w:lang w:val="sr-Latn-CS"/>
        </w:rPr>
        <w:t>APR</w:t>
      </w:r>
      <w:r w:rsidRPr="00463ADC">
        <w:rPr>
          <w:sz w:val="18"/>
          <w:szCs w:val="18"/>
          <w:lang w:val="sr-Latn-CS"/>
        </w:rPr>
        <w:t>)/Jedinstvena registraciona prijava osnivanja</w:t>
      </w:r>
      <w:r>
        <w:rPr>
          <w:sz w:val="18"/>
          <w:szCs w:val="18"/>
          <w:lang w:val="sr-Latn-CS"/>
        </w:rPr>
        <w:t xml:space="preserve"> za APR odnosno fotokopija lične karte za domaće fizičko lice, fotokopija pasoša za inostrano lice</w:t>
      </w:r>
    </w:p>
  </w:footnote>
  <w:footnote w:id="21">
    <w:p w14:paraId="6258F894" w14:textId="7DA6C8EB" w:rsidR="00C03EA8" w:rsidRDefault="00C03EA8" w:rsidP="00463ADC">
      <w:pPr>
        <w:pStyle w:val="FootnoteText"/>
        <w:jc w:val="both"/>
      </w:pPr>
      <w:r w:rsidRPr="00463ADC">
        <w:rPr>
          <w:rStyle w:val="FootnoteReference"/>
          <w:sz w:val="18"/>
          <w:szCs w:val="18"/>
          <w:vertAlign w:val="superscript"/>
          <w:lang w:val="sr-Latn-CS"/>
        </w:rPr>
        <w:footnoteRef/>
      </w:r>
      <w:r w:rsidRPr="00463ADC">
        <w:rPr>
          <w:sz w:val="18"/>
          <w:szCs w:val="18"/>
          <w:lang w:val="sr-Latn-CS"/>
        </w:rPr>
        <w:t xml:space="preserve">Izvor informacija: </w:t>
      </w:r>
      <w:r>
        <w:rPr>
          <w:sz w:val="18"/>
          <w:szCs w:val="18"/>
          <w:lang w:val="sr-Latn-CS"/>
        </w:rPr>
        <w:t xml:space="preserve">Bilans uspeha i Bilans stanja za </w:t>
      </w:r>
      <w:r w:rsidRPr="00463ADC">
        <w:rPr>
          <w:sz w:val="18"/>
          <w:szCs w:val="18"/>
          <w:lang w:val="sr-Latn-CS"/>
        </w:rPr>
        <w:t>2016</w:t>
      </w:r>
      <w:r>
        <w:rPr>
          <w:sz w:val="18"/>
          <w:szCs w:val="18"/>
          <w:lang w:val="sr-Latn-CS"/>
        </w:rPr>
        <w:t xml:space="preserve">. </w:t>
      </w:r>
    </w:p>
  </w:footnote>
  <w:footnote w:id="22">
    <w:p w14:paraId="0A452CA5" w14:textId="77777777" w:rsidR="00C03EA8" w:rsidRDefault="00C03EA8" w:rsidP="00463ADC">
      <w:pPr>
        <w:pStyle w:val="FootnoteText"/>
        <w:jc w:val="both"/>
      </w:pPr>
      <w:r w:rsidRPr="00463ADC">
        <w:rPr>
          <w:rStyle w:val="FootnoteReference"/>
          <w:sz w:val="18"/>
          <w:szCs w:val="18"/>
          <w:vertAlign w:val="superscript"/>
          <w:lang w:val="sr-Latn-CS"/>
        </w:rPr>
        <w:footnoteRef/>
      </w:r>
      <w:r w:rsidRPr="00463ADC">
        <w:rPr>
          <w:sz w:val="18"/>
          <w:szCs w:val="18"/>
          <w:lang w:val="sr-Latn-CS"/>
        </w:rPr>
        <w:t xml:space="preserve">Izvor informacija: </w:t>
      </w:r>
      <w:r>
        <w:rPr>
          <w:sz w:val="18"/>
          <w:szCs w:val="18"/>
          <w:lang w:val="sr-Latn-CS"/>
        </w:rPr>
        <w:t>Potvrda nadležne poreske uprave da je kandidat platio sve poreske obaveze do datuma objavljivanja poziva (potvrda ne sme da bude izdata pre datuma objavljivanja poziva) – original ili overena kopija potvrde</w:t>
      </w:r>
    </w:p>
  </w:footnote>
  <w:footnote w:id="23">
    <w:p w14:paraId="1ACE787B" w14:textId="7389798A" w:rsidR="00C03EA8" w:rsidRDefault="00C03EA8" w:rsidP="00463ADC">
      <w:pPr>
        <w:pStyle w:val="FootnoteText"/>
        <w:jc w:val="both"/>
      </w:pPr>
      <w:r w:rsidRPr="00463ADC">
        <w:rPr>
          <w:sz w:val="18"/>
          <w:szCs w:val="18"/>
          <w:vertAlign w:val="superscript"/>
          <w:lang w:val="sr-Latn-CS"/>
        </w:rPr>
        <w:footnoteRef/>
      </w:r>
      <w:r w:rsidRPr="00463ADC">
        <w:rPr>
          <w:sz w:val="18"/>
          <w:szCs w:val="18"/>
          <w:lang w:val="sr-Latn-CS"/>
        </w:rPr>
        <w:t xml:space="preserve">Izvor informacija: </w:t>
      </w:r>
      <w:r>
        <w:rPr>
          <w:sz w:val="18"/>
          <w:szCs w:val="18"/>
          <w:lang w:val="sr-Latn-CS"/>
        </w:rPr>
        <w:t>Potvrda da vlasnik/vlasnici i odgovorna osoba pravog lica nisu krivično osuđivani niti se protiv njih vodi krivična istraga – original ili overena kopija potvrde</w:t>
      </w:r>
    </w:p>
  </w:footnote>
  <w:footnote w:id="24">
    <w:p w14:paraId="7DF0C58C" w14:textId="7C089F36" w:rsidR="00C03EA8" w:rsidRDefault="00C03EA8" w:rsidP="00463ADC">
      <w:pPr>
        <w:pStyle w:val="FootnoteText"/>
        <w:jc w:val="both"/>
      </w:pPr>
      <w:r w:rsidRPr="00463ADC">
        <w:rPr>
          <w:rStyle w:val="FootnoteReference"/>
          <w:sz w:val="18"/>
          <w:szCs w:val="18"/>
          <w:vertAlign w:val="superscript"/>
          <w:lang w:val="sr-Latn-CS"/>
        </w:rPr>
        <w:footnoteRef/>
      </w:r>
      <w:r w:rsidRPr="00463ADC">
        <w:rPr>
          <w:sz w:val="18"/>
          <w:szCs w:val="18"/>
          <w:lang w:val="sr-Latn-CS"/>
        </w:rPr>
        <w:t xml:space="preserve">Izvor informacija: </w:t>
      </w:r>
      <w:r>
        <w:rPr>
          <w:sz w:val="18"/>
          <w:szCs w:val="18"/>
          <w:lang w:val="sr-Latn-CS"/>
        </w:rPr>
        <w:t>Potvrda da protiv kandidata nije izrečena izvršna mera zabrane obavljanja aktivnosti u periodu od dve godine pre podnošenja prijave</w:t>
      </w:r>
    </w:p>
  </w:footnote>
  <w:footnote w:id="25">
    <w:p w14:paraId="18D774E9" w14:textId="77777777" w:rsidR="00C03EA8" w:rsidRDefault="00C03EA8" w:rsidP="00463ADC">
      <w:pPr>
        <w:pStyle w:val="FootnoteText"/>
        <w:jc w:val="both"/>
      </w:pPr>
      <w:r w:rsidRPr="00463ADC">
        <w:rPr>
          <w:rStyle w:val="FootnoteReference"/>
          <w:sz w:val="18"/>
          <w:szCs w:val="18"/>
          <w:vertAlign w:val="superscript"/>
          <w:lang w:val="sr-Latn-CS"/>
        </w:rPr>
        <w:footnoteRef/>
      </w:r>
      <w:r>
        <w:rPr>
          <w:sz w:val="18"/>
          <w:szCs w:val="18"/>
          <w:lang w:val="sr-Latn-CS"/>
        </w:rPr>
        <w:t>Ovo obuhvata olakšice u nabaci opreme i uvođenje usluga u skladu sa Programom. Kandidat može da bude kvalifikovan za korišćenje olakšica od Nacionalne službe za zapošljavanje prilikom angažovanja novih zaposlenih, na primer</w:t>
      </w:r>
    </w:p>
  </w:footnote>
  <w:footnote w:id="26">
    <w:p w14:paraId="1CACDB99" w14:textId="77777777" w:rsidR="00C03EA8" w:rsidRDefault="00C03EA8" w:rsidP="00463ADC">
      <w:pPr>
        <w:pStyle w:val="FootnoteText"/>
        <w:jc w:val="both"/>
      </w:pPr>
      <w:r w:rsidRPr="00463ADC">
        <w:rPr>
          <w:rStyle w:val="FootnoteReference"/>
          <w:sz w:val="18"/>
          <w:szCs w:val="18"/>
          <w:vertAlign w:val="superscript"/>
          <w:lang w:val="sr-Latn-CS"/>
        </w:rPr>
        <w:footnoteRef/>
      </w:r>
      <w:r w:rsidRPr="00463ADC">
        <w:rPr>
          <w:sz w:val="18"/>
          <w:szCs w:val="18"/>
          <w:lang w:val="sr-Latn-CS"/>
        </w:rPr>
        <w:t xml:space="preserve">Izvor informacija: </w:t>
      </w:r>
      <w:r>
        <w:rPr>
          <w:sz w:val="18"/>
          <w:szCs w:val="18"/>
          <w:lang w:val="sr-Latn-CS"/>
        </w:rPr>
        <w:t xml:space="preserve">Izjava da kandidat ne korist olakšice po istom osnovu </w:t>
      </w:r>
      <w:r>
        <w:rPr>
          <w:lang w:val="sr-Latn-CS"/>
        </w:rPr>
        <w:t>od drugih ustanova ili donatora tokom perioda obavljanja aktivnosti</w:t>
      </w:r>
    </w:p>
  </w:footnote>
  <w:footnote w:id="27">
    <w:p w14:paraId="2E7144F7" w14:textId="77777777" w:rsidR="00C03EA8" w:rsidRDefault="00C03EA8" w:rsidP="00463ADC">
      <w:pPr>
        <w:pStyle w:val="FootnoteText"/>
        <w:jc w:val="both"/>
      </w:pPr>
      <w:r w:rsidRPr="00463ADC">
        <w:rPr>
          <w:rStyle w:val="FootnoteReference"/>
          <w:sz w:val="18"/>
          <w:szCs w:val="18"/>
          <w:vertAlign w:val="superscript"/>
          <w:lang w:val="sr-Latn-CS"/>
        </w:rPr>
        <w:footnoteRef/>
      </w:r>
      <w:r w:rsidRPr="00463ADC">
        <w:rPr>
          <w:sz w:val="18"/>
          <w:szCs w:val="18"/>
          <w:lang w:val="sr-Latn-CS"/>
        </w:rPr>
        <w:t xml:space="preserve">Izvor informacija: </w:t>
      </w:r>
      <w:r>
        <w:rPr>
          <w:sz w:val="18"/>
          <w:szCs w:val="18"/>
          <w:lang w:val="sr-Latn-CS"/>
        </w:rPr>
        <w:t>Izjava da kandidat ne proizvodi proizvode koji krše zakone o autorskim pravima, zaštitnim znacima ili intelektualnoj svojini</w:t>
      </w:r>
    </w:p>
  </w:footnote>
  <w:footnote w:id="28">
    <w:p w14:paraId="4A6F7D0A" w14:textId="6D3E3EA4" w:rsidR="00C03EA8" w:rsidRDefault="00C03EA8" w:rsidP="00463ADC">
      <w:pPr>
        <w:pStyle w:val="FootnoteText"/>
        <w:jc w:val="both"/>
      </w:pPr>
      <w:r w:rsidRPr="004F147D">
        <w:rPr>
          <w:rStyle w:val="FootnoteReference"/>
          <w:sz w:val="18"/>
          <w:vertAlign w:val="superscript"/>
          <w:lang w:val="sr-Latn-CS"/>
        </w:rPr>
        <w:footnoteRef/>
      </w:r>
      <w:r>
        <w:rPr>
          <w:sz w:val="18"/>
          <w:lang w:val="sr-Latn-CS"/>
        </w:rPr>
        <w:t>Izvor informacija</w:t>
      </w:r>
      <w:r w:rsidRPr="004F147D">
        <w:rPr>
          <w:sz w:val="18"/>
          <w:lang w:val="sr-Latn-CS"/>
        </w:rPr>
        <w:t xml:space="preserve">: </w:t>
      </w:r>
      <w:r>
        <w:rPr>
          <w:sz w:val="18"/>
          <w:lang w:val="sr-Latn-CS"/>
        </w:rPr>
        <w:t xml:space="preserve">Bilans uspeha za </w:t>
      </w:r>
      <w:r w:rsidRPr="004F147D">
        <w:rPr>
          <w:sz w:val="18"/>
          <w:lang w:val="sr-Latn-CS"/>
        </w:rPr>
        <w:t>2016</w:t>
      </w:r>
      <w:r>
        <w:rPr>
          <w:sz w:val="18"/>
          <w:lang w:val="sr-Latn-CS"/>
        </w:rPr>
        <w:t xml:space="preserve">. i </w:t>
      </w:r>
      <w:r w:rsidRPr="004F147D">
        <w:rPr>
          <w:sz w:val="18"/>
          <w:lang w:val="sr-Latn-CS"/>
        </w:rPr>
        <w:t>2017</w:t>
      </w:r>
      <w:r>
        <w:rPr>
          <w:sz w:val="18"/>
          <w:lang w:val="sr-Latn-CS"/>
        </w:rPr>
        <w:t xml:space="preserve">. ili finansijski izveštaj o izvozu za </w:t>
      </w:r>
      <w:r w:rsidRPr="004F147D">
        <w:rPr>
          <w:sz w:val="18"/>
          <w:lang w:val="sr-Latn-CS"/>
        </w:rPr>
        <w:t>2016</w:t>
      </w:r>
      <w:r>
        <w:rPr>
          <w:sz w:val="18"/>
          <w:lang w:val="sr-Latn-CS"/>
        </w:rPr>
        <w:t xml:space="preserve">. i </w:t>
      </w:r>
      <w:r w:rsidRPr="004F147D">
        <w:rPr>
          <w:sz w:val="18"/>
          <w:lang w:val="sr-Latn-CS"/>
        </w:rPr>
        <w:t>2017</w:t>
      </w:r>
      <w:r>
        <w:rPr>
          <w:sz w:val="18"/>
          <w:lang w:val="sr-Latn-CS"/>
        </w:rPr>
        <w:t>. potpisan od strane računovođe za mikro preduzeća i preduzetnike sa prostim knjigovodstvom</w:t>
      </w:r>
    </w:p>
  </w:footnote>
  <w:footnote w:id="29">
    <w:p w14:paraId="321CC326" w14:textId="17763558" w:rsidR="00C03EA8" w:rsidRDefault="00C03EA8" w:rsidP="00463ADC">
      <w:pPr>
        <w:pStyle w:val="FootnoteText"/>
        <w:jc w:val="both"/>
      </w:pPr>
      <w:r w:rsidRPr="004F147D">
        <w:rPr>
          <w:rStyle w:val="FootnoteReference"/>
          <w:sz w:val="18"/>
          <w:vertAlign w:val="superscript"/>
          <w:lang w:val="sr-Latn-CS"/>
        </w:rPr>
        <w:footnoteRef/>
      </w:r>
      <w:r>
        <w:rPr>
          <w:sz w:val="18"/>
          <w:lang w:val="sr-Latn-CS"/>
        </w:rPr>
        <w:t>Izvor informacija</w:t>
      </w:r>
      <w:r w:rsidRPr="004F147D">
        <w:rPr>
          <w:sz w:val="18"/>
          <w:lang w:val="sr-Latn-CS"/>
        </w:rPr>
        <w:t>: Statisti</w:t>
      </w:r>
      <w:r>
        <w:rPr>
          <w:sz w:val="18"/>
          <w:lang w:val="sr-Latn-CS"/>
        </w:rPr>
        <w:t xml:space="preserve">čki izveštaj za </w:t>
      </w:r>
      <w:r w:rsidRPr="004F147D">
        <w:rPr>
          <w:sz w:val="18"/>
          <w:lang w:val="sr-Latn-CS"/>
        </w:rPr>
        <w:t>2016</w:t>
      </w:r>
      <w:r>
        <w:rPr>
          <w:sz w:val="18"/>
          <w:lang w:val="sr-Latn-CS"/>
        </w:rPr>
        <w:t xml:space="preserve">. i </w:t>
      </w:r>
      <w:r w:rsidRPr="004F147D">
        <w:rPr>
          <w:sz w:val="18"/>
          <w:lang w:val="sr-Latn-CS"/>
        </w:rPr>
        <w:t>2017</w:t>
      </w:r>
      <w:r>
        <w:rPr>
          <w:sz w:val="18"/>
          <w:lang w:val="sr-Latn-CS"/>
        </w:rPr>
        <w:t>. ili potpisani dokument koji potvrđuje prosečan broj zaposlenih u 2016. i 2017. za preduzetnike sa prostim knjigovodstvom</w:t>
      </w:r>
      <w:r w:rsidRPr="004F147D">
        <w:rPr>
          <w:sz w:val="18"/>
          <w:lang w:val="sr-Latn-CS"/>
        </w:rPr>
        <w:t>.</w:t>
      </w:r>
    </w:p>
  </w:footnote>
  <w:footnote w:id="30">
    <w:p w14:paraId="14774C78" w14:textId="77777777" w:rsidR="00C03EA8" w:rsidRDefault="00C03EA8" w:rsidP="008F03FD">
      <w:pPr>
        <w:pStyle w:val="FootnoteText"/>
      </w:pPr>
      <w:r w:rsidRPr="001F3826">
        <w:rPr>
          <w:rStyle w:val="FootnoteReference"/>
          <w:sz w:val="18"/>
          <w:szCs w:val="18"/>
          <w:vertAlign w:val="superscript"/>
          <w:lang w:val="sr-Latn-CS"/>
        </w:rPr>
        <w:footnoteRef/>
      </w:r>
      <w:r w:rsidRPr="001F3826">
        <w:rPr>
          <w:sz w:val="18"/>
          <w:szCs w:val="18"/>
          <w:lang w:val="sr-Latn-CS"/>
        </w:rPr>
        <w:t xml:space="preserve">Projekti moraju da budu ekološki kada je reč o usklađenosti sa postojećom politikom očuvanja životne sredine. Zbog toga će se ekološki uticaj procenjivati u većem obimu, a ne samo u okviru minimalnih zakonskih zahteva. </w:t>
      </w:r>
    </w:p>
  </w:footnote>
  <w:footnote w:id="31">
    <w:p w14:paraId="3FBD4BE5" w14:textId="2290999D" w:rsidR="00C03EA8" w:rsidRDefault="00C03EA8" w:rsidP="00C81F0B">
      <w:pPr>
        <w:pStyle w:val="FootnoteText"/>
        <w:jc w:val="both"/>
      </w:pPr>
      <w:r w:rsidRPr="001F3826">
        <w:rPr>
          <w:rStyle w:val="FootnoteReference"/>
          <w:sz w:val="18"/>
          <w:szCs w:val="18"/>
          <w:vertAlign w:val="superscript"/>
          <w:lang w:val="sr-Latn-CS"/>
        </w:rPr>
        <w:footnoteRef/>
      </w:r>
      <w:r w:rsidRPr="001F3826">
        <w:rPr>
          <w:sz w:val="18"/>
          <w:szCs w:val="18"/>
          <w:lang w:val="sr-Latn-CS"/>
        </w:rPr>
        <w:t xml:space="preserve">Parametri </w:t>
      </w:r>
      <w:r w:rsidR="00D479D1">
        <w:rPr>
          <w:sz w:val="18"/>
          <w:szCs w:val="18"/>
          <w:lang w:val="sr-Latn-CS"/>
        </w:rPr>
        <w:t>društvenog</w:t>
      </w:r>
      <w:r w:rsidRPr="001F3826">
        <w:rPr>
          <w:sz w:val="18"/>
          <w:szCs w:val="18"/>
          <w:lang w:val="sr-Latn-CS"/>
        </w:rPr>
        <w:t xml:space="preserve"> uticaja biće procenjeni i na osnovu prethodne performanse, kao i projekcija.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79FF1" w14:textId="27B0A196" w:rsidR="00C03EA8" w:rsidRPr="0085145B" w:rsidRDefault="00573797" w:rsidP="0085145B">
    <w:pPr>
      <w:pStyle w:val="Header"/>
    </w:pPr>
    <w:r>
      <w:rPr>
        <w:noProof/>
        <w:lang w:val="en-US"/>
      </w:rPr>
      <w:drawing>
        <wp:inline distT="0" distB="0" distL="0" distR="0" wp14:anchorId="3E33AE7D" wp14:editId="25B85774">
          <wp:extent cx="5943600" cy="110680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1">
                    <a:extLst>
                      <a:ext uri="{28A0092B-C50C-407E-A947-70E740481C1C}">
                        <a14:useLocalDpi xmlns:a14="http://schemas.microsoft.com/office/drawing/2010/main" val="0"/>
                      </a:ext>
                    </a:extLst>
                  </a:blip>
                  <a:stretch>
                    <a:fillRect/>
                  </a:stretch>
                </pic:blipFill>
                <pic:spPr>
                  <a:xfrm>
                    <a:off x="0" y="0"/>
                    <a:ext cx="5943600" cy="1106805"/>
                  </a:xfrm>
                  <a:prstGeom prst="rect">
                    <a:avLst/>
                  </a:prstGeom>
                </pic:spPr>
              </pic:pic>
            </a:graphicData>
          </a:graphic>
        </wp:inline>
      </w:drawing>
    </w:r>
    <w:r w:rsidDel="0057379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446"/>
    <w:multiLevelType w:val="hybridMultilevel"/>
    <w:tmpl w:val="339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12856"/>
    <w:multiLevelType w:val="hybridMultilevel"/>
    <w:tmpl w:val="05E43556"/>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F86CD1"/>
    <w:multiLevelType w:val="hybridMultilevel"/>
    <w:tmpl w:val="9CEC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B05E2"/>
    <w:multiLevelType w:val="hybridMultilevel"/>
    <w:tmpl w:val="C480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F55ED"/>
    <w:multiLevelType w:val="hybridMultilevel"/>
    <w:tmpl w:val="BFEC51F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475012"/>
    <w:multiLevelType w:val="hybridMultilevel"/>
    <w:tmpl w:val="FAC883CA"/>
    <w:lvl w:ilvl="0" w:tplc="DD6E420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BF3106"/>
    <w:multiLevelType w:val="hybridMultilevel"/>
    <w:tmpl w:val="F80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9A4C3C"/>
    <w:multiLevelType w:val="hybridMultilevel"/>
    <w:tmpl w:val="90F8F68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3105912"/>
    <w:multiLevelType w:val="hybridMultilevel"/>
    <w:tmpl w:val="6966F432"/>
    <w:lvl w:ilvl="0" w:tplc="6694B21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3E11E61"/>
    <w:multiLevelType w:val="hybridMultilevel"/>
    <w:tmpl w:val="5838C1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0666AA"/>
    <w:multiLevelType w:val="hybridMultilevel"/>
    <w:tmpl w:val="05E43556"/>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824FB9"/>
    <w:multiLevelType w:val="multilevel"/>
    <w:tmpl w:val="6E2857E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0155988"/>
    <w:multiLevelType w:val="hybridMultilevel"/>
    <w:tmpl w:val="0028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1712B"/>
    <w:multiLevelType w:val="hybridMultilevel"/>
    <w:tmpl w:val="7FE637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086538E"/>
    <w:multiLevelType w:val="hybridMultilevel"/>
    <w:tmpl w:val="4A6E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D91C0A"/>
    <w:multiLevelType w:val="hybridMultilevel"/>
    <w:tmpl w:val="AFF27FAA"/>
    <w:lvl w:ilvl="0" w:tplc="0E94BFEA">
      <w:start w:val="1"/>
      <w:numFmt w:val="bullet"/>
      <w:lvlText w:val="•"/>
      <w:lvlJc w:val="left"/>
      <w:pPr>
        <w:tabs>
          <w:tab w:val="num" w:pos="720"/>
        </w:tabs>
        <w:ind w:left="720" w:hanging="360"/>
      </w:pPr>
      <w:rPr>
        <w:rFonts w:ascii="Arial" w:hAnsi="Arial" w:hint="default"/>
      </w:rPr>
    </w:lvl>
    <w:lvl w:ilvl="1" w:tplc="0C381D54">
      <w:start w:val="1"/>
      <w:numFmt w:val="bullet"/>
      <w:lvlText w:val="•"/>
      <w:lvlJc w:val="left"/>
      <w:pPr>
        <w:tabs>
          <w:tab w:val="num" w:pos="1440"/>
        </w:tabs>
        <w:ind w:left="1440" w:hanging="360"/>
      </w:pPr>
      <w:rPr>
        <w:rFonts w:ascii="Arial" w:hAnsi="Arial" w:hint="default"/>
      </w:rPr>
    </w:lvl>
    <w:lvl w:ilvl="2" w:tplc="641C1334" w:tentative="1">
      <w:start w:val="1"/>
      <w:numFmt w:val="bullet"/>
      <w:lvlText w:val="•"/>
      <w:lvlJc w:val="left"/>
      <w:pPr>
        <w:tabs>
          <w:tab w:val="num" w:pos="2160"/>
        </w:tabs>
        <w:ind w:left="2160" w:hanging="360"/>
      </w:pPr>
      <w:rPr>
        <w:rFonts w:ascii="Arial" w:hAnsi="Arial" w:hint="default"/>
      </w:rPr>
    </w:lvl>
    <w:lvl w:ilvl="3" w:tplc="F642C618" w:tentative="1">
      <w:start w:val="1"/>
      <w:numFmt w:val="bullet"/>
      <w:lvlText w:val="•"/>
      <w:lvlJc w:val="left"/>
      <w:pPr>
        <w:tabs>
          <w:tab w:val="num" w:pos="2880"/>
        </w:tabs>
        <w:ind w:left="2880" w:hanging="360"/>
      </w:pPr>
      <w:rPr>
        <w:rFonts w:ascii="Arial" w:hAnsi="Arial" w:hint="default"/>
      </w:rPr>
    </w:lvl>
    <w:lvl w:ilvl="4" w:tplc="18247178" w:tentative="1">
      <w:start w:val="1"/>
      <w:numFmt w:val="bullet"/>
      <w:lvlText w:val="•"/>
      <w:lvlJc w:val="left"/>
      <w:pPr>
        <w:tabs>
          <w:tab w:val="num" w:pos="3600"/>
        </w:tabs>
        <w:ind w:left="3600" w:hanging="360"/>
      </w:pPr>
      <w:rPr>
        <w:rFonts w:ascii="Arial" w:hAnsi="Arial" w:hint="default"/>
      </w:rPr>
    </w:lvl>
    <w:lvl w:ilvl="5" w:tplc="A04AAED8" w:tentative="1">
      <w:start w:val="1"/>
      <w:numFmt w:val="bullet"/>
      <w:lvlText w:val="•"/>
      <w:lvlJc w:val="left"/>
      <w:pPr>
        <w:tabs>
          <w:tab w:val="num" w:pos="4320"/>
        </w:tabs>
        <w:ind w:left="4320" w:hanging="360"/>
      </w:pPr>
      <w:rPr>
        <w:rFonts w:ascii="Arial" w:hAnsi="Arial" w:hint="default"/>
      </w:rPr>
    </w:lvl>
    <w:lvl w:ilvl="6" w:tplc="2A4CEA94" w:tentative="1">
      <w:start w:val="1"/>
      <w:numFmt w:val="bullet"/>
      <w:lvlText w:val="•"/>
      <w:lvlJc w:val="left"/>
      <w:pPr>
        <w:tabs>
          <w:tab w:val="num" w:pos="5040"/>
        </w:tabs>
        <w:ind w:left="5040" w:hanging="360"/>
      </w:pPr>
      <w:rPr>
        <w:rFonts w:ascii="Arial" w:hAnsi="Arial" w:hint="default"/>
      </w:rPr>
    </w:lvl>
    <w:lvl w:ilvl="7" w:tplc="E50824B8" w:tentative="1">
      <w:start w:val="1"/>
      <w:numFmt w:val="bullet"/>
      <w:lvlText w:val="•"/>
      <w:lvlJc w:val="left"/>
      <w:pPr>
        <w:tabs>
          <w:tab w:val="num" w:pos="5760"/>
        </w:tabs>
        <w:ind w:left="5760" w:hanging="360"/>
      </w:pPr>
      <w:rPr>
        <w:rFonts w:ascii="Arial" w:hAnsi="Arial" w:hint="default"/>
      </w:rPr>
    </w:lvl>
    <w:lvl w:ilvl="8" w:tplc="ED963836" w:tentative="1">
      <w:start w:val="1"/>
      <w:numFmt w:val="bullet"/>
      <w:lvlText w:val="•"/>
      <w:lvlJc w:val="left"/>
      <w:pPr>
        <w:tabs>
          <w:tab w:val="num" w:pos="6480"/>
        </w:tabs>
        <w:ind w:left="6480" w:hanging="360"/>
      </w:pPr>
      <w:rPr>
        <w:rFonts w:ascii="Arial" w:hAnsi="Arial" w:hint="default"/>
      </w:rPr>
    </w:lvl>
  </w:abstractNum>
  <w:abstractNum w:abstractNumId="16">
    <w:nsid w:val="351C2465"/>
    <w:multiLevelType w:val="hybridMultilevel"/>
    <w:tmpl w:val="BABE9E58"/>
    <w:lvl w:ilvl="0" w:tplc="04090013">
      <w:start w:val="1"/>
      <w:numFmt w:val="upp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149E6"/>
    <w:multiLevelType w:val="hybridMultilevel"/>
    <w:tmpl w:val="8B522A48"/>
    <w:lvl w:ilvl="0" w:tplc="7F4CFAFA">
      <w:start w:val="1"/>
      <w:numFmt w:val="decimal"/>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95BDE"/>
    <w:multiLevelType w:val="hybridMultilevel"/>
    <w:tmpl w:val="22AA4B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7806AF"/>
    <w:multiLevelType w:val="hybridMultilevel"/>
    <w:tmpl w:val="0E121254"/>
    <w:lvl w:ilvl="0" w:tplc="7E9A4FBA">
      <w:start w:val="1"/>
      <w:numFmt w:val="bullet"/>
      <w:lvlText w:val="•"/>
      <w:lvlJc w:val="left"/>
      <w:pPr>
        <w:tabs>
          <w:tab w:val="num" w:pos="720"/>
        </w:tabs>
        <w:ind w:left="720" w:hanging="360"/>
      </w:pPr>
      <w:rPr>
        <w:rFonts w:ascii="Arial" w:hAnsi="Arial" w:hint="default"/>
      </w:rPr>
    </w:lvl>
    <w:lvl w:ilvl="1" w:tplc="2B5A5F9E" w:tentative="1">
      <w:start w:val="1"/>
      <w:numFmt w:val="bullet"/>
      <w:lvlText w:val="•"/>
      <w:lvlJc w:val="left"/>
      <w:pPr>
        <w:tabs>
          <w:tab w:val="num" w:pos="1440"/>
        </w:tabs>
        <w:ind w:left="1440" w:hanging="360"/>
      </w:pPr>
      <w:rPr>
        <w:rFonts w:ascii="Arial" w:hAnsi="Arial" w:hint="default"/>
      </w:rPr>
    </w:lvl>
    <w:lvl w:ilvl="2" w:tplc="A06CDD7C" w:tentative="1">
      <w:start w:val="1"/>
      <w:numFmt w:val="bullet"/>
      <w:lvlText w:val="•"/>
      <w:lvlJc w:val="left"/>
      <w:pPr>
        <w:tabs>
          <w:tab w:val="num" w:pos="2160"/>
        </w:tabs>
        <w:ind w:left="2160" w:hanging="360"/>
      </w:pPr>
      <w:rPr>
        <w:rFonts w:ascii="Arial" w:hAnsi="Arial" w:hint="default"/>
      </w:rPr>
    </w:lvl>
    <w:lvl w:ilvl="3" w:tplc="7BC23142" w:tentative="1">
      <w:start w:val="1"/>
      <w:numFmt w:val="bullet"/>
      <w:lvlText w:val="•"/>
      <w:lvlJc w:val="left"/>
      <w:pPr>
        <w:tabs>
          <w:tab w:val="num" w:pos="2880"/>
        </w:tabs>
        <w:ind w:left="2880" w:hanging="360"/>
      </w:pPr>
      <w:rPr>
        <w:rFonts w:ascii="Arial" w:hAnsi="Arial" w:hint="default"/>
      </w:rPr>
    </w:lvl>
    <w:lvl w:ilvl="4" w:tplc="4080F748" w:tentative="1">
      <w:start w:val="1"/>
      <w:numFmt w:val="bullet"/>
      <w:lvlText w:val="•"/>
      <w:lvlJc w:val="left"/>
      <w:pPr>
        <w:tabs>
          <w:tab w:val="num" w:pos="3600"/>
        </w:tabs>
        <w:ind w:left="3600" w:hanging="360"/>
      </w:pPr>
      <w:rPr>
        <w:rFonts w:ascii="Arial" w:hAnsi="Arial" w:hint="default"/>
      </w:rPr>
    </w:lvl>
    <w:lvl w:ilvl="5" w:tplc="125E0B8E" w:tentative="1">
      <w:start w:val="1"/>
      <w:numFmt w:val="bullet"/>
      <w:lvlText w:val="•"/>
      <w:lvlJc w:val="left"/>
      <w:pPr>
        <w:tabs>
          <w:tab w:val="num" w:pos="4320"/>
        </w:tabs>
        <w:ind w:left="4320" w:hanging="360"/>
      </w:pPr>
      <w:rPr>
        <w:rFonts w:ascii="Arial" w:hAnsi="Arial" w:hint="default"/>
      </w:rPr>
    </w:lvl>
    <w:lvl w:ilvl="6" w:tplc="9E8281A6" w:tentative="1">
      <w:start w:val="1"/>
      <w:numFmt w:val="bullet"/>
      <w:lvlText w:val="•"/>
      <w:lvlJc w:val="left"/>
      <w:pPr>
        <w:tabs>
          <w:tab w:val="num" w:pos="5040"/>
        </w:tabs>
        <w:ind w:left="5040" w:hanging="360"/>
      </w:pPr>
      <w:rPr>
        <w:rFonts w:ascii="Arial" w:hAnsi="Arial" w:hint="default"/>
      </w:rPr>
    </w:lvl>
    <w:lvl w:ilvl="7" w:tplc="4112AF7C" w:tentative="1">
      <w:start w:val="1"/>
      <w:numFmt w:val="bullet"/>
      <w:lvlText w:val="•"/>
      <w:lvlJc w:val="left"/>
      <w:pPr>
        <w:tabs>
          <w:tab w:val="num" w:pos="5760"/>
        </w:tabs>
        <w:ind w:left="5760" w:hanging="360"/>
      </w:pPr>
      <w:rPr>
        <w:rFonts w:ascii="Arial" w:hAnsi="Arial" w:hint="default"/>
      </w:rPr>
    </w:lvl>
    <w:lvl w:ilvl="8" w:tplc="A544AAD0" w:tentative="1">
      <w:start w:val="1"/>
      <w:numFmt w:val="bullet"/>
      <w:lvlText w:val="•"/>
      <w:lvlJc w:val="left"/>
      <w:pPr>
        <w:tabs>
          <w:tab w:val="num" w:pos="6480"/>
        </w:tabs>
        <w:ind w:left="6480" w:hanging="360"/>
      </w:pPr>
      <w:rPr>
        <w:rFonts w:ascii="Arial" w:hAnsi="Arial" w:hint="default"/>
      </w:rPr>
    </w:lvl>
  </w:abstractNum>
  <w:abstractNum w:abstractNumId="20">
    <w:nsid w:val="3E1A2B09"/>
    <w:multiLevelType w:val="hybridMultilevel"/>
    <w:tmpl w:val="BC1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313D3"/>
    <w:multiLevelType w:val="hybridMultilevel"/>
    <w:tmpl w:val="90F8F68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4FF3FCB"/>
    <w:multiLevelType w:val="hybridMultilevel"/>
    <w:tmpl w:val="38B4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5282A"/>
    <w:multiLevelType w:val="hybridMultilevel"/>
    <w:tmpl w:val="1C1E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A47A86"/>
    <w:multiLevelType w:val="hybridMultilevel"/>
    <w:tmpl w:val="07CC7994"/>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663CCD"/>
    <w:multiLevelType w:val="hybridMultilevel"/>
    <w:tmpl w:val="4AFC365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hint="default"/>
      </w:rPr>
    </w:lvl>
    <w:lvl w:ilvl="8" w:tplc="08090005">
      <w:start w:val="1"/>
      <w:numFmt w:val="bullet"/>
      <w:lvlText w:val=""/>
      <w:lvlJc w:val="left"/>
      <w:pPr>
        <w:ind w:left="6525" w:hanging="360"/>
      </w:pPr>
      <w:rPr>
        <w:rFonts w:ascii="Wingdings" w:hAnsi="Wingdings" w:hint="default"/>
      </w:rPr>
    </w:lvl>
  </w:abstractNum>
  <w:abstractNum w:abstractNumId="26">
    <w:nsid w:val="5A5116EA"/>
    <w:multiLevelType w:val="hybridMultilevel"/>
    <w:tmpl w:val="8B0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E7366"/>
    <w:multiLevelType w:val="hybridMultilevel"/>
    <w:tmpl w:val="E7BE01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B797CD9"/>
    <w:multiLevelType w:val="hybridMultilevel"/>
    <w:tmpl w:val="C506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F715C"/>
    <w:multiLevelType w:val="hybridMultilevel"/>
    <w:tmpl w:val="522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F3A23"/>
    <w:multiLevelType w:val="hybridMultilevel"/>
    <w:tmpl w:val="F50A1A3A"/>
    <w:lvl w:ilvl="0" w:tplc="298AEE6A">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DB0FDB"/>
    <w:multiLevelType w:val="hybridMultilevel"/>
    <w:tmpl w:val="F11A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C7076"/>
    <w:multiLevelType w:val="hybridMultilevel"/>
    <w:tmpl w:val="5D389754"/>
    <w:lvl w:ilvl="0" w:tplc="E0C6C7AC">
      <w:start w:val="1"/>
      <w:numFmt w:val="bullet"/>
      <w:lvlText w:val="•"/>
      <w:lvlJc w:val="left"/>
      <w:pPr>
        <w:tabs>
          <w:tab w:val="num" w:pos="720"/>
        </w:tabs>
        <w:ind w:left="720" w:hanging="360"/>
      </w:pPr>
      <w:rPr>
        <w:rFonts w:ascii="Arial" w:hAnsi="Arial" w:hint="default"/>
      </w:rPr>
    </w:lvl>
    <w:lvl w:ilvl="1" w:tplc="C24ED1B6">
      <w:start w:val="1"/>
      <w:numFmt w:val="bullet"/>
      <w:lvlText w:val="•"/>
      <w:lvlJc w:val="left"/>
      <w:pPr>
        <w:tabs>
          <w:tab w:val="num" w:pos="1440"/>
        </w:tabs>
        <w:ind w:left="1440" w:hanging="360"/>
      </w:pPr>
      <w:rPr>
        <w:rFonts w:ascii="Arial" w:hAnsi="Arial" w:hint="default"/>
      </w:rPr>
    </w:lvl>
    <w:lvl w:ilvl="2" w:tplc="BFEC49CA" w:tentative="1">
      <w:start w:val="1"/>
      <w:numFmt w:val="bullet"/>
      <w:lvlText w:val="•"/>
      <w:lvlJc w:val="left"/>
      <w:pPr>
        <w:tabs>
          <w:tab w:val="num" w:pos="2160"/>
        </w:tabs>
        <w:ind w:left="2160" w:hanging="360"/>
      </w:pPr>
      <w:rPr>
        <w:rFonts w:ascii="Arial" w:hAnsi="Arial" w:hint="default"/>
      </w:rPr>
    </w:lvl>
    <w:lvl w:ilvl="3" w:tplc="1F3A5E2E" w:tentative="1">
      <w:start w:val="1"/>
      <w:numFmt w:val="bullet"/>
      <w:lvlText w:val="•"/>
      <w:lvlJc w:val="left"/>
      <w:pPr>
        <w:tabs>
          <w:tab w:val="num" w:pos="2880"/>
        </w:tabs>
        <w:ind w:left="2880" w:hanging="360"/>
      </w:pPr>
      <w:rPr>
        <w:rFonts w:ascii="Arial" w:hAnsi="Arial" w:hint="default"/>
      </w:rPr>
    </w:lvl>
    <w:lvl w:ilvl="4" w:tplc="992220D6" w:tentative="1">
      <w:start w:val="1"/>
      <w:numFmt w:val="bullet"/>
      <w:lvlText w:val="•"/>
      <w:lvlJc w:val="left"/>
      <w:pPr>
        <w:tabs>
          <w:tab w:val="num" w:pos="3600"/>
        </w:tabs>
        <w:ind w:left="3600" w:hanging="360"/>
      </w:pPr>
      <w:rPr>
        <w:rFonts w:ascii="Arial" w:hAnsi="Arial" w:hint="default"/>
      </w:rPr>
    </w:lvl>
    <w:lvl w:ilvl="5" w:tplc="3C9C8434" w:tentative="1">
      <w:start w:val="1"/>
      <w:numFmt w:val="bullet"/>
      <w:lvlText w:val="•"/>
      <w:lvlJc w:val="left"/>
      <w:pPr>
        <w:tabs>
          <w:tab w:val="num" w:pos="4320"/>
        </w:tabs>
        <w:ind w:left="4320" w:hanging="360"/>
      </w:pPr>
      <w:rPr>
        <w:rFonts w:ascii="Arial" w:hAnsi="Arial" w:hint="default"/>
      </w:rPr>
    </w:lvl>
    <w:lvl w:ilvl="6" w:tplc="3342B854" w:tentative="1">
      <w:start w:val="1"/>
      <w:numFmt w:val="bullet"/>
      <w:lvlText w:val="•"/>
      <w:lvlJc w:val="left"/>
      <w:pPr>
        <w:tabs>
          <w:tab w:val="num" w:pos="5040"/>
        </w:tabs>
        <w:ind w:left="5040" w:hanging="360"/>
      </w:pPr>
      <w:rPr>
        <w:rFonts w:ascii="Arial" w:hAnsi="Arial" w:hint="default"/>
      </w:rPr>
    </w:lvl>
    <w:lvl w:ilvl="7" w:tplc="23BE918C" w:tentative="1">
      <w:start w:val="1"/>
      <w:numFmt w:val="bullet"/>
      <w:lvlText w:val="•"/>
      <w:lvlJc w:val="left"/>
      <w:pPr>
        <w:tabs>
          <w:tab w:val="num" w:pos="5760"/>
        </w:tabs>
        <w:ind w:left="5760" w:hanging="360"/>
      </w:pPr>
      <w:rPr>
        <w:rFonts w:ascii="Arial" w:hAnsi="Arial" w:hint="default"/>
      </w:rPr>
    </w:lvl>
    <w:lvl w:ilvl="8" w:tplc="16C016E0" w:tentative="1">
      <w:start w:val="1"/>
      <w:numFmt w:val="bullet"/>
      <w:lvlText w:val="•"/>
      <w:lvlJc w:val="left"/>
      <w:pPr>
        <w:tabs>
          <w:tab w:val="num" w:pos="6480"/>
        </w:tabs>
        <w:ind w:left="6480" w:hanging="360"/>
      </w:pPr>
      <w:rPr>
        <w:rFonts w:ascii="Arial" w:hAnsi="Arial" w:hint="default"/>
      </w:rPr>
    </w:lvl>
  </w:abstractNum>
  <w:abstractNum w:abstractNumId="33">
    <w:nsid w:val="653741A6"/>
    <w:multiLevelType w:val="hybridMultilevel"/>
    <w:tmpl w:val="9DE8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23802"/>
    <w:multiLevelType w:val="hybridMultilevel"/>
    <w:tmpl w:val="8ACC4B0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CFE16BE"/>
    <w:multiLevelType w:val="hybridMultilevel"/>
    <w:tmpl w:val="5C6890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6D9E08BC"/>
    <w:multiLevelType w:val="hybridMultilevel"/>
    <w:tmpl w:val="85E0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33FCA"/>
    <w:multiLevelType w:val="hybridMultilevel"/>
    <w:tmpl w:val="E9E235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2515061"/>
    <w:multiLevelType w:val="hybridMultilevel"/>
    <w:tmpl w:val="DFA437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29CA8D44">
      <w:start w:val="2"/>
      <w:numFmt w:val="bullet"/>
      <w:lvlText w:val="-"/>
      <w:lvlJc w:val="left"/>
      <w:pPr>
        <w:ind w:left="2880" w:hanging="360"/>
      </w:pPr>
      <w:rPr>
        <w:rFonts w:ascii="Calibri" w:eastAsia="Times New Roman" w:hAnsi="Calibri"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4D72493"/>
    <w:multiLevelType w:val="hybridMultilevel"/>
    <w:tmpl w:val="9B9E8B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6561600"/>
    <w:multiLevelType w:val="hybridMultilevel"/>
    <w:tmpl w:val="D804C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6944B99"/>
    <w:multiLevelType w:val="hybridMultilevel"/>
    <w:tmpl w:val="F64EA8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7316A7D"/>
    <w:multiLevelType w:val="hybridMultilevel"/>
    <w:tmpl w:val="2494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8313FC7"/>
    <w:multiLevelType w:val="hybridMultilevel"/>
    <w:tmpl w:val="D31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E7966"/>
    <w:multiLevelType w:val="hybridMultilevel"/>
    <w:tmpl w:val="B0CCFFB8"/>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5">
    <w:nsid w:val="7C2441AC"/>
    <w:multiLevelType w:val="hybridMultilevel"/>
    <w:tmpl w:val="60FE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38"/>
  </w:num>
  <w:num w:numId="4">
    <w:abstractNumId w:val="18"/>
  </w:num>
  <w:num w:numId="5">
    <w:abstractNumId w:val="9"/>
  </w:num>
  <w:num w:numId="6">
    <w:abstractNumId w:val="39"/>
  </w:num>
  <w:num w:numId="7">
    <w:abstractNumId w:val="27"/>
  </w:num>
  <w:num w:numId="8">
    <w:abstractNumId w:val="1"/>
  </w:num>
  <w:num w:numId="9">
    <w:abstractNumId w:val="10"/>
  </w:num>
  <w:num w:numId="10">
    <w:abstractNumId w:val="43"/>
  </w:num>
  <w:num w:numId="11">
    <w:abstractNumId w:val="16"/>
  </w:num>
  <w:num w:numId="12">
    <w:abstractNumId w:val="29"/>
  </w:num>
  <w:num w:numId="13">
    <w:abstractNumId w:val="44"/>
  </w:num>
  <w:num w:numId="14">
    <w:abstractNumId w:val="45"/>
  </w:num>
  <w:num w:numId="15">
    <w:abstractNumId w:val="36"/>
  </w:num>
  <w:num w:numId="16">
    <w:abstractNumId w:val="33"/>
  </w:num>
  <w:num w:numId="17">
    <w:abstractNumId w:val="2"/>
  </w:num>
  <w:num w:numId="18">
    <w:abstractNumId w:val="22"/>
  </w:num>
  <w:num w:numId="19">
    <w:abstractNumId w:val="37"/>
  </w:num>
  <w:num w:numId="20">
    <w:abstractNumId w:val="30"/>
  </w:num>
  <w:num w:numId="21">
    <w:abstractNumId w:val="11"/>
  </w:num>
  <w:num w:numId="22">
    <w:abstractNumId w:val="34"/>
  </w:num>
  <w:num w:numId="23">
    <w:abstractNumId w:val="25"/>
  </w:num>
  <w:num w:numId="24">
    <w:abstractNumId w:val="35"/>
  </w:num>
  <w:num w:numId="25">
    <w:abstractNumId w:val="21"/>
  </w:num>
  <w:num w:numId="26">
    <w:abstractNumId w:val="32"/>
  </w:num>
  <w:num w:numId="27">
    <w:abstractNumId w:val="15"/>
  </w:num>
  <w:num w:numId="28">
    <w:abstractNumId w:val="19"/>
  </w:num>
  <w:num w:numId="29">
    <w:abstractNumId w:val="8"/>
  </w:num>
  <w:num w:numId="30">
    <w:abstractNumId w:val="12"/>
  </w:num>
  <w:num w:numId="31">
    <w:abstractNumId w:val="17"/>
  </w:num>
  <w:num w:numId="32">
    <w:abstractNumId w:val="24"/>
  </w:num>
  <w:num w:numId="33">
    <w:abstractNumId w:val="13"/>
  </w:num>
  <w:num w:numId="34">
    <w:abstractNumId w:val="3"/>
  </w:num>
  <w:num w:numId="35">
    <w:abstractNumId w:val="23"/>
  </w:num>
  <w:num w:numId="36">
    <w:abstractNumId w:val="42"/>
  </w:num>
  <w:num w:numId="37">
    <w:abstractNumId w:val="14"/>
  </w:num>
  <w:num w:numId="38">
    <w:abstractNumId w:val="5"/>
  </w:num>
  <w:num w:numId="39">
    <w:abstractNumId w:val="6"/>
  </w:num>
  <w:num w:numId="40">
    <w:abstractNumId w:val="40"/>
  </w:num>
  <w:num w:numId="41">
    <w:abstractNumId w:val="0"/>
  </w:num>
  <w:num w:numId="42">
    <w:abstractNumId w:val="7"/>
  </w:num>
  <w:num w:numId="43">
    <w:abstractNumId w:val="20"/>
  </w:num>
  <w:num w:numId="44">
    <w:abstractNumId w:val="31"/>
  </w:num>
  <w:num w:numId="45">
    <w:abstractNumId w:val="2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C9"/>
    <w:rsid w:val="00002771"/>
    <w:rsid w:val="00023F94"/>
    <w:rsid w:val="000333D5"/>
    <w:rsid w:val="00035AC1"/>
    <w:rsid w:val="00046B16"/>
    <w:rsid w:val="00067BBD"/>
    <w:rsid w:val="000815F6"/>
    <w:rsid w:val="00082615"/>
    <w:rsid w:val="00085588"/>
    <w:rsid w:val="0009012C"/>
    <w:rsid w:val="00095EDC"/>
    <w:rsid w:val="00097EC3"/>
    <w:rsid w:val="000A0C80"/>
    <w:rsid w:val="000A2F06"/>
    <w:rsid w:val="000A3658"/>
    <w:rsid w:val="000A482C"/>
    <w:rsid w:val="000A4ED5"/>
    <w:rsid w:val="000B0C65"/>
    <w:rsid w:val="000B1C2F"/>
    <w:rsid w:val="000C3728"/>
    <w:rsid w:val="000C5664"/>
    <w:rsid w:val="000C65D3"/>
    <w:rsid w:val="000D32DA"/>
    <w:rsid w:val="000E7CCC"/>
    <w:rsid w:val="000F5D8A"/>
    <w:rsid w:val="001044B8"/>
    <w:rsid w:val="00123043"/>
    <w:rsid w:val="00124E64"/>
    <w:rsid w:val="00132CF6"/>
    <w:rsid w:val="001339DE"/>
    <w:rsid w:val="001364BD"/>
    <w:rsid w:val="001401B0"/>
    <w:rsid w:val="00151A25"/>
    <w:rsid w:val="0015683C"/>
    <w:rsid w:val="00156B99"/>
    <w:rsid w:val="00164597"/>
    <w:rsid w:val="00165A2F"/>
    <w:rsid w:val="001679B0"/>
    <w:rsid w:val="00185BE0"/>
    <w:rsid w:val="001930F0"/>
    <w:rsid w:val="001A1CE8"/>
    <w:rsid w:val="001A3964"/>
    <w:rsid w:val="001A533C"/>
    <w:rsid w:val="001B67B4"/>
    <w:rsid w:val="001C1E80"/>
    <w:rsid w:val="001C31F9"/>
    <w:rsid w:val="001C57DC"/>
    <w:rsid w:val="001D0D1D"/>
    <w:rsid w:val="001E153C"/>
    <w:rsid w:val="001F3826"/>
    <w:rsid w:val="001F6514"/>
    <w:rsid w:val="001F77F7"/>
    <w:rsid w:val="002021A8"/>
    <w:rsid w:val="00207AB0"/>
    <w:rsid w:val="002125BA"/>
    <w:rsid w:val="00215F97"/>
    <w:rsid w:val="00224EFC"/>
    <w:rsid w:val="00232230"/>
    <w:rsid w:val="00234E8A"/>
    <w:rsid w:val="00237A67"/>
    <w:rsid w:val="002413BA"/>
    <w:rsid w:val="002437B6"/>
    <w:rsid w:val="00257308"/>
    <w:rsid w:val="0026215F"/>
    <w:rsid w:val="00263FFB"/>
    <w:rsid w:val="002729E3"/>
    <w:rsid w:val="00280471"/>
    <w:rsid w:val="0028302E"/>
    <w:rsid w:val="00284936"/>
    <w:rsid w:val="00290A2E"/>
    <w:rsid w:val="00293455"/>
    <w:rsid w:val="00294D24"/>
    <w:rsid w:val="00295E9B"/>
    <w:rsid w:val="002A0F02"/>
    <w:rsid w:val="002A506A"/>
    <w:rsid w:val="002B2D21"/>
    <w:rsid w:val="002B4A43"/>
    <w:rsid w:val="002C3E0F"/>
    <w:rsid w:val="002C4557"/>
    <w:rsid w:val="002E3ECF"/>
    <w:rsid w:val="002E797F"/>
    <w:rsid w:val="002F3FD0"/>
    <w:rsid w:val="00300263"/>
    <w:rsid w:val="00311004"/>
    <w:rsid w:val="00311A09"/>
    <w:rsid w:val="00312E0B"/>
    <w:rsid w:val="0031582D"/>
    <w:rsid w:val="00316E0C"/>
    <w:rsid w:val="00323DA1"/>
    <w:rsid w:val="00326D2A"/>
    <w:rsid w:val="00330F4D"/>
    <w:rsid w:val="003409F1"/>
    <w:rsid w:val="00347A76"/>
    <w:rsid w:val="00361FAE"/>
    <w:rsid w:val="00365906"/>
    <w:rsid w:val="003673A9"/>
    <w:rsid w:val="00370B4A"/>
    <w:rsid w:val="0037393D"/>
    <w:rsid w:val="00386591"/>
    <w:rsid w:val="003924A7"/>
    <w:rsid w:val="00393735"/>
    <w:rsid w:val="00396AAF"/>
    <w:rsid w:val="003A4920"/>
    <w:rsid w:val="003A4DF2"/>
    <w:rsid w:val="003A5617"/>
    <w:rsid w:val="003A72D9"/>
    <w:rsid w:val="003B0899"/>
    <w:rsid w:val="003C442D"/>
    <w:rsid w:val="003D3C9B"/>
    <w:rsid w:val="003E7233"/>
    <w:rsid w:val="003F33F1"/>
    <w:rsid w:val="003F4703"/>
    <w:rsid w:val="00403DA8"/>
    <w:rsid w:val="00410688"/>
    <w:rsid w:val="00411AE9"/>
    <w:rsid w:val="00414558"/>
    <w:rsid w:val="00414A76"/>
    <w:rsid w:val="00420E69"/>
    <w:rsid w:val="00425B0C"/>
    <w:rsid w:val="004277C2"/>
    <w:rsid w:val="00437703"/>
    <w:rsid w:val="004410C4"/>
    <w:rsid w:val="0044467E"/>
    <w:rsid w:val="0044780C"/>
    <w:rsid w:val="00452853"/>
    <w:rsid w:val="00455106"/>
    <w:rsid w:val="004569C2"/>
    <w:rsid w:val="004627DE"/>
    <w:rsid w:val="00463ADC"/>
    <w:rsid w:val="00464A6A"/>
    <w:rsid w:val="00475D73"/>
    <w:rsid w:val="0047715C"/>
    <w:rsid w:val="00477409"/>
    <w:rsid w:val="00484CA3"/>
    <w:rsid w:val="00492E35"/>
    <w:rsid w:val="0049322A"/>
    <w:rsid w:val="004978E3"/>
    <w:rsid w:val="004A36FD"/>
    <w:rsid w:val="004B1165"/>
    <w:rsid w:val="004B4B26"/>
    <w:rsid w:val="004C63D8"/>
    <w:rsid w:val="004C7719"/>
    <w:rsid w:val="004D1138"/>
    <w:rsid w:val="004D36E6"/>
    <w:rsid w:val="004D50A6"/>
    <w:rsid w:val="004D5851"/>
    <w:rsid w:val="004E0568"/>
    <w:rsid w:val="004E1047"/>
    <w:rsid w:val="004E360F"/>
    <w:rsid w:val="004F147D"/>
    <w:rsid w:val="004F7FF0"/>
    <w:rsid w:val="00505262"/>
    <w:rsid w:val="00505396"/>
    <w:rsid w:val="00512CA5"/>
    <w:rsid w:val="005157F0"/>
    <w:rsid w:val="00516AB1"/>
    <w:rsid w:val="00524193"/>
    <w:rsid w:val="005267BE"/>
    <w:rsid w:val="005268B9"/>
    <w:rsid w:val="00533555"/>
    <w:rsid w:val="005352C4"/>
    <w:rsid w:val="005368BC"/>
    <w:rsid w:val="00540243"/>
    <w:rsid w:val="005553B0"/>
    <w:rsid w:val="0056075D"/>
    <w:rsid w:val="00560825"/>
    <w:rsid w:val="005624BD"/>
    <w:rsid w:val="00571BEA"/>
    <w:rsid w:val="00573797"/>
    <w:rsid w:val="00575F1A"/>
    <w:rsid w:val="00581D9E"/>
    <w:rsid w:val="00584C2A"/>
    <w:rsid w:val="00594709"/>
    <w:rsid w:val="005A47B5"/>
    <w:rsid w:val="005A79FB"/>
    <w:rsid w:val="005B1135"/>
    <w:rsid w:val="005B2F85"/>
    <w:rsid w:val="005B3BF4"/>
    <w:rsid w:val="005C14AE"/>
    <w:rsid w:val="005C43C7"/>
    <w:rsid w:val="005D03B9"/>
    <w:rsid w:val="005D1B66"/>
    <w:rsid w:val="005D4CB7"/>
    <w:rsid w:val="005D52D7"/>
    <w:rsid w:val="005D7260"/>
    <w:rsid w:val="005E5AA8"/>
    <w:rsid w:val="00613293"/>
    <w:rsid w:val="00623BB5"/>
    <w:rsid w:val="00625798"/>
    <w:rsid w:val="00626FD4"/>
    <w:rsid w:val="0065639D"/>
    <w:rsid w:val="006567FD"/>
    <w:rsid w:val="00670A10"/>
    <w:rsid w:val="00685C9F"/>
    <w:rsid w:val="006A1873"/>
    <w:rsid w:val="006A351C"/>
    <w:rsid w:val="006A6917"/>
    <w:rsid w:val="006B18DF"/>
    <w:rsid w:val="006C2ED6"/>
    <w:rsid w:val="006C4B7E"/>
    <w:rsid w:val="006D1899"/>
    <w:rsid w:val="006D1CFB"/>
    <w:rsid w:val="006D650A"/>
    <w:rsid w:val="006D6A26"/>
    <w:rsid w:val="006E0BC0"/>
    <w:rsid w:val="006F5437"/>
    <w:rsid w:val="007008A6"/>
    <w:rsid w:val="00701626"/>
    <w:rsid w:val="0071195B"/>
    <w:rsid w:val="00711FE4"/>
    <w:rsid w:val="00717E30"/>
    <w:rsid w:val="007271D9"/>
    <w:rsid w:val="0072754B"/>
    <w:rsid w:val="00730573"/>
    <w:rsid w:val="00731869"/>
    <w:rsid w:val="0073190D"/>
    <w:rsid w:val="00732A02"/>
    <w:rsid w:val="007337F3"/>
    <w:rsid w:val="00737DF1"/>
    <w:rsid w:val="0074226C"/>
    <w:rsid w:val="00746722"/>
    <w:rsid w:val="00762298"/>
    <w:rsid w:val="00764D70"/>
    <w:rsid w:val="00766AC8"/>
    <w:rsid w:val="007722AC"/>
    <w:rsid w:val="00773DF2"/>
    <w:rsid w:val="007748C6"/>
    <w:rsid w:val="007766C9"/>
    <w:rsid w:val="00776EB2"/>
    <w:rsid w:val="0078701C"/>
    <w:rsid w:val="007961E2"/>
    <w:rsid w:val="007A0341"/>
    <w:rsid w:val="007A10C0"/>
    <w:rsid w:val="007B085F"/>
    <w:rsid w:val="007B3E36"/>
    <w:rsid w:val="007D0D45"/>
    <w:rsid w:val="007E772B"/>
    <w:rsid w:val="00802DDF"/>
    <w:rsid w:val="00812160"/>
    <w:rsid w:val="0081317B"/>
    <w:rsid w:val="008161F1"/>
    <w:rsid w:val="00820227"/>
    <w:rsid w:val="00822557"/>
    <w:rsid w:val="00827329"/>
    <w:rsid w:val="00833FCA"/>
    <w:rsid w:val="0085145B"/>
    <w:rsid w:val="008754B8"/>
    <w:rsid w:val="00883A06"/>
    <w:rsid w:val="00884E3A"/>
    <w:rsid w:val="00885C82"/>
    <w:rsid w:val="0089235E"/>
    <w:rsid w:val="0089259A"/>
    <w:rsid w:val="00893BBD"/>
    <w:rsid w:val="00896078"/>
    <w:rsid w:val="008A0151"/>
    <w:rsid w:val="008A019A"/>
    <w:rsid w:val="008A50F6"/>
    <w:rsid w:val="008A6E20"/>
    <w:rsid w:val="008B1FD0"/>
    <w:rsid w:val="008C4BCC"/>
    <w:rsid w:val="008C6E3D"/>
    <w:rsid w:val="008D16EE"/>
    <w:rsid w:val="008D2E52"/>
    <w:rsid w:val="008E7D7B"/>
    <w:rsid w:val="008F03FD"/>
    <w:rsid w:val="008F4A3A"/>
    <w:rsid w:val="008F55EA"/>
    <w:rsid w:val="00902174"/>
    <w:rsid w:val="009043FD"/>
    <w:rsid w:val="00906F93"/>
    <w:rsid w:val="00907871"/>
    <w:rsid w:val="00907DAB"/>
    <w:rsid w:val="00911337"/>
    <w:rsid w:val="00913D3B"/>
    <w:rsid w:val="009201DB"/>
    <w:rsid w:val="00940B57"/>
    <w:rsid w:val="00945867"/>
    <w:rsid w:val="00952FCA"/>
    <w:rsid w:val="00953503"/>
    <w:rsid w:val="009565A3"/>
    <w:rsid w:val="00963D6D"/>
    <w:rsid w:val="0096549B"/>
    <w:rsid w:val="009700AA"/>
    <w:rsid w:val="00984B88"/>
    <w:rsid w:val="009856B5"/>
    <w:rsid w:val="009A4B74"/>
    <w:rsid w:val="009A5E93"/>
    <w:rsid w:val="009A7ABE"/>
    <w:rsid w:val="009B0E4E"/>
    <w:rsid w:val="009B3BF4"/>
    <w:rsid w:val="009B6AE1"/>
    <w:rsid w:val="009C1B20"/>
    <w:rsid w:val="009C6C64"/>
    <w:rsid w:val="009E06BF"/>
    <w:rsid w:val="009F19BF"/>
    <w:rsid w:val="009F5CFA"/>
    <w:rsid w:val="00A06F71"/>
    <w:rsid w:val="00A140AF"/>
    <w:rsid w:val="00A16CCD"/>
    <w:rsid w:val="00A20344"/>
    <w:rsid w:val="00A23971"/>
    <w:rsid w:val="00A264C1"/>
    <w:rsid w:val="00A305B6"/>
    <w:rsid w:val="00A44AE3"/>
    <w:rsid w:val="00A50A88"/>
    <w:rsid w:val="00A51752"/>
    <w:rsid w:val="00A519C1"/>
    <w:rsid w:val="00A56FFE"/>
    <w:rsid w:val="00A57216"/>
    <w:rsid w:val="00A600D0"/>
    <w:rsid w:val="00A67EA3"/>
    <w:rsid w:val="00A817DD"/>
    <w:rsid w:val="00A8427A"/>
    <w:rsid w:val="00A93736"/>
    <w:rsid w:val="00A95521"/>
    <w:rsid w:val="00AA5314"/>
    <w:rsid w:val="00AB026A"/>
    <w:rsid w:val="00AB54AA"/>
    <w:rsid w:val="00AC2EB5"/>
    <w:rsid w:val="00AC7551"/>
    <w:rsid w:val="00AD0431"/>
    <w:rsid w:val="00AD3B43"/>
    <w:rsid w:val="00AD5BAF"/>
    <w:rsid w:val="00AE1978"/>
    <w:rsid w:val="00AE6DC6"/>
    <w:rsid w:val="00AF659E"/>
    <w:rsid w:val="00B07EB2"/>
    <w:rsid w:val="00B229AB"/>
    <w:rsid w:val="00B30D9A"/>
    <w:rsid w:val="00B3177D"/>
    <w:rsid w:val="00B47233"/>
    <w:rsid w:val="00B52D57"/>
    <w:rsid w:val="00B52F51"/>
    <w:rsid w:val="00B54B7F"/>
    <w:rsid w:val="00B566A3"/>
    <w:rsid w:val="00B607BB"/>
    <w:rsid w:val="00B64DB1"/>
    <w:rsid w:val="00B73A97"/>
    <w:rsid w:val="00B748FF"/>
    <w:rsid w:val="00B7630F"/>
    <w:rsid w:val="00B94452"/>
    <w:rsid w:val="00B9504F"/>
    <w:rsid w:val="00BA4D4B"/>
    <w:rsid w:val="00BA5E83"/>
    <w:rsid w:val="00BB6A83"/>
    <w:rsid w:val="00BC09CE"/>
    <w:rsid w:val="00BD55BA"/>
    <w:rsid w:val="00BD6828"/>
    <w:rsid w:val="00BD6C97"/>
    <w:rsid w:val="00BD7C28"/>
    <w:rsid w:val="00BD7EEF"/>
    <w:rsid w:val="00BF0EF6"/>
    <w:rsid w:val="00BF62EB"/>
    <w:rsid w:val="00C00533"/>
    <w:rsid w:val="00C03EA8"/>
    <w:rsid w:val="00C03FD1"/>
    <w:rsid w:val="00C11E84"/>
    <w:rsid w:val="00C12A82"/>
    <w:rsid w:val="00C27230"/>
    <w:rsid w:val="00C37CB1"/>
    <w:rsid w:val="00C46DE3"/>
    <w:rsid w:val="00C472F1"/>
    <w:rsid w:val="00C525AF"/>
    <w:rsid w:val="00C635C9"/>
    <w:rsid w:val="00C71350"/>
    <w:rsid w:val="00C74782"/>
    <w:rsid w:val="00C81F0B"/>
    <w:rsid w:val="00C82913"/>
    <w:rsid w:val="00C978DE"/>
    <w:rsid w:val="00CA65D7"/>
    <w:rsid w:val="00CB2744"/>
    <w:rsid w:val="00CB42D9"/>
    <w:rsid w:val="00CB5072"/>
    <w:rsid w:val="00CB5950"/>
    <w:rsid w:val="00CB70F6"/>
    <w:rsid w:val="00CC4436"/>
    <w:rsid w:val="00CC4B22"/>
    <w:rsid w:val="00CD1436"/>
    <w:rsid w:val="00CD6960"/>
    <w:rsid w:val="00CE469B"/>
    <w:rsid w:val="00CF2250"/>
    <w:rsid w:val="00CF3BE1"/>
    <w:rsid w:val="00D03B83"/>
    <w:rsid w:val="00D06AFE"/>
    <w:rsid w:val="00D07379"/>
    <w:rsid w:val="00D10A10"/>
    <w:rsid w:val="00D12C0E"/>
    <w:rsid w:val="00D21E33"/>
    <w:rsid w:val="00D22B51"/>
    <w:rsid w:val="00D23C66"/>
    <w:rsid w:val="00D25EBB"/>
    <w:rsid w:val="00D375C2"/>
    <w:rsid w:val="00D40DAE"/>
    <w:rsid w:val="00D42839"/>
    <w:rsid w:val="00D430ED"/>
    <w:rsid w:val="00D479D1"/>
    <w:rsid w:val="00D50075"/>
    <w:rsid w:val="00D515D6"/>
    <w:rsid w:val="00D5357E"/>
    <w:rsid w:val="00D73F66"/>
    <w:rsid w:val="00D95958"/>
    <w:rsid w:val="00D97E7E"/>
    <w:rsid w:val="00D97FAF"/>
    <w:rsid w:val="00DA1C43"/>
    <w:rsid w:val="00DB2860"/>
    <w:rsid w:val="00DB6499"/>
    <w:rsid w:val="00DC02F5"/>
    <w:rsid w:val="00DC06E5"/>
    <w:rsid w:val="00DC0AD4"/>
    <w:rsid w:val="00DC1732"/>
    <w:rsid w:val="00DC5FC9"/>
    <w:rsid w:val="00DE0D0C"/>
    <w:rsid w:val="00DE3267"/>
    <w:rsid w:val="00DE44AE"/>
    <w:rsid w:val="00DE54A6"/>
    <w:rsid w:val="00DF2E9F"/>
    <w:rsid w:val="00DF7248"/>
    <w:rsid w:val="00E01155"/>
    <w:rsid w:val="00E06FBF"/>
    <w:rsid w:val="00E072CE"/>
    <w:rsid w:val="00E1150B"/>
    <w:rsid w:val="00E12096"/>
    <w:rsid w:val="00E1270D"/>
    <w:rsid w:val="00E13F39"/>
    <w:rsid w:val="00E1630B"/>
    <w:rsid w:val="00E42859"/>
    <w:rsid w:val="00E5131E"/>
    <w:rsid w:val="00E53B79"/>
    <w:rsid w:val="00E60CDE"/>
    <w:rsid w:val="00E75E9C"/>
    <w:rsid w:val="00EC084B"/>
    <w:rsid w:val="00EC1386"/>
    <w:rsid w:val="00EC7167"/>
    <w:rsid w:val="00ED5CE2"/>
    <w:rsid w:val="00EE0D12"/>
    <w:rsid w:val="00EE3124"/>
    <w:rsid w:val="00EF6BEC"/>
    <w:rsid w:val="00F06AB4"/>
    <w:rsid w:val="00F1074E"/>
    <w:rsid w:val="00F123DF"/>
    <w:rsid w:val="00F12A2F"/>
    <w:rsid w:val="00F14ADC"/>
    <w:rsid w:val="00F162F4"/>
    <w:rsid w:val="00F1769B"/>
    <w:rsid w:val="00F310AC"/>
    <w:rsid w:val="00F31962"/>
    <w:rsid w:val="00F6184A"/>
    <w:rsid w:val="00F621AF"/>
    <w:rsid w:val="00F67405"/>
    <w:rsid w:val="00F72755"/>
    <w:rsid w:val="00F72853"/>
    <w:rsid w:val="00F75B33"/>
    <w:rsid w:val="00F77F1F"/>
    <w:rsid w:val="00F83491"/>
    <w:rsid w:val="00F87989"/>
    <w:rsid w:val="00F94368"/>
    <w:rsid w:val="00FA462A"/>
    <w:rsid w:val="00FA4B12"/>
    <w:rsid w:val="00FA600B"/>
    <w:rsid w:val="00FA6BDF"/>
    <w:rsid w:val="00FB014D"/>
    <w:rsid w:val="00FB0A3A"/>
    <w:rsid w:val="00FB0A42"/>
    <w:rsid w:val="00FB143C"/>
    <w:rsid w:val="00FB1F17"/>
    <w:rsid w:val="00FC4050"/>
    <w:rsid w:val="00FC5678"/>
    <w:rsid w:val="00FC6A88"/>
    <w:rsid w:val="00FC6ABF"/>
    <w:rsid w:val="00FD66DA"/>
    <w:rsid w:val="00FD6C58"/>
    <w:rsid w:val="00FD6C86"/>
    <w:rsid w:val="00FE1EF0"/>
    <w:rsid w:val="00FE7819"/>
    <w:rsid w:val="00FF5394"/>
    <w:rsid w:val="00FF5A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53E1F"/>
  <w15:docId w15:val="{A1635ED9-6EB6-4839-B412-D9F836DE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936"/>
    <w:pPr>
      <w:spacing w:after="160" w:line="259" w:lineRule="auto"/>
    </w:pPr>
    <w:rPr>
      <w:lang w:val="en-GB"/>
    </w:rPr>
  </w:style>
  <w:style w:type="paragraph" w:styleId="Heading1">
    <w:name w:val="heading 1"/>
    <w:basedOn w:val="Normal"/>
    <w:next w:val="Normal"/>
    <w:link w:val="Heading1Char"/>
    <w:uiPriority w:val="99"/>
    <w:qFormat/>
    <w:rsid w:val="00E4285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E42859"/>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E42859"/>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2859"/>
    <w:rPr>
      <w:rFonts w:ascii="Calibri Light" w:hAnsi="Calibri Light" w:cs="Times New Roman"/>
      <w:color w:val="2E74B5"/>
      <w:sz w:val="32"/>
      <w:szCs w:val="32"/>
      <w:lang w:val="en-GB"/>
    </w:rPr>
  </w:style>
  <w:style w:type="character" w:customStyle="1" w:styleId="Heading2Char">
    <w:name w:val="Heading 2 Char"/>
    <w:basedOn w:val="DefaultParagraphFont"/>
    <w:link w:val="Heading2"/>
    <w:uiPriority w:val="99"/>
    <w:locked/>
    <w:rsid w:val="00E42859"/>
    <w:rPr>
      <w:rFonts w:ascii="Calibri Light" w:hAnsi="Calibri Light" w:cs="Times New Roman"/>
      <w:color w:val="2E74B5"/>
      <w:sz w:val="26"/>
      <w:szCs w:val="26"/>
      <w:lang w:val="en-GB"/>
    </w:rPr>
  </w:style>
  <w:style w:type="character" w:customStyle="1" w:styleId="Heading3Char">
    <w:name w:val="Heading 3 Char"/>
    <w:basedOn w:val="DefaultParagraphFont"/>
    <w:link w:val="Heading3"/>
    <w:uiPriority w:val="99"/>
    <w:locked/>
    <w:rsid w:val="00E42859"/>
    <w:rPr>
      <w:rFonts w:ascii="Calibri Light" w:hAnsi="Calibri Light" w:cs="Times New Roman"/>
      <w:color w:val="1F4D78"/>
      <w:sz w:val="24"/>
      <w:szCs w:val="24"/>
      <w:lang w:val="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locked/>
    <w:rsid w:val="001339DE"/>
    <w:rPr>
      <w:rFonts w:cs="Times New Roman"/>
    </w:rPr>
  </w:style>
  <w:style w:type="character" w:styleId="Hyperlink">
    <w:name w:val="Hyperlink"/>
    <w:basedOn w:val="DefaultParagraphFont"/>
    <w:uiPriority w:val="99"/>
    <w:rsid w:val="001339DE"/>
    <w:rPr>
      <w:rFonts w:cs="Times New Roman"/>
      <w:color w:val="0000FF"/>
      <w:u w:val="single"/>
    </w:rPr>
  </w:style>
  <w:style w:type="paragraph" w:styleId="FootnoteText">
    <w:name w:val="footnote text"/>
    <w:aliases w:val="single space,ft,FOOTNOTES,fn,Footnote Text Char Char Char,Footnote Text Char Char,Footnote Text Char1,single space Char,ft Char,- OP,Fußnote,Podrozdział,Fußnotentextf,stile 1,Footnote,Footnote1,Footnote2,Footnote3,Footnote4"/>
    <w:basedOn w:val="Normal"/>
    <w:link w:val="FootnoteTextChar2"/>
    <w:uiPriority w:val="99"/>
    <w:rsid w:val="001339DE"/>
    <w:pPr>
      <w:spacing w:after="0" w:line="240" w:lineRule="auto"/>
    </w:pPr>
    <w:rPr>
      <w:sz w:val="20"/>
      <w:szCs w:val="20"/>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 OP Char,Fußnote Char,Podrozdział Char,Fußnotentextf Char"/>
    <w:basedOn w:val="DefaultParagraphFont"/>
    <w:uiPriority w:val="99"/>
    <w:semiHidden/>
    <w:rsid w:val="004F4D80"/>
    <w:rPr>
      <w:sz w:val="20"/>
      <w:szCs w:val="20"/>
      <w:lang w:val="en-GB"/>
    </w:rPr>
  </w:style>
  <w:style w:type="character" w:customStyle="1" w:styleId="FootnoteTextChar4">
    <w:name w:val="Footnote Text Char4"/>
    <w:aliases w:val="single space Char12,ft Char12,FOOTNOTES Char3,fn Char3,Footnote Text Char Char Char Char3,Footnote Text Char Char Char12,Footnote Text Char1 Char3,single space Char Char3,ft Char Char3,- OP Char3,Fußnote Char3,Podrozdział Char3"/>
    <w:basedOn w:val="DefaultParagraphFont"/>
    <w:uiPriority w:val="99"/>
    <w:semiHidden/>
    <w:rPr>
      <w:rFonts w:cs="Times New Roman"/>
      <w:sz w:val="20"/>
      <w:szCs w:val="20"/>
      <w:lang w:val="en-GB"/>
    </w:rPr>
  </w:style>
  <w:style w:type="character" w:customStyle="1" w:styleId="FootnoteTextChar3">
    <w:name w:val="Footnote Text Char3"/>
    <w:aliases w:val="single space Char11,ft Char11,FOOTNOTES Char2,fn Char2,Footnote Text Char Char Char Char2,Footnote Text Char Char Char11,Footnote Text Char1 Char2,single space Char Char2,ft Char Char2,- OP Char2,Fußnote Char2,Podrozdział Char2"/>
    <w:basedOn w:val="DefaultParagraphFont"/>
    <w:uiPriority w:val="99"/>
    <w:semiHidden/>
    <w:locked/>
    <w:rsid w:val="00B229AB"/>
    <w:rPr>
      <w:rFonts w:cs="Times New Roman"/>
      <w:sz w:val="20"/>
      <w:szCs w:val="20"/>
      <w:lang w:val="en-GB"/>
    </w:rPr>
  </w:style>
  <w:style w:type="character" w:customStyle="1" w:styleId="FootnoteTextChar2">
    <w:name w:val="Footnote Text Char2"/>
    <w:aliases w:val="single space Char2,ft Char2,FOOTNOTES Char1,fn Char1,Footnote Text Char Char Char Char1,Footnote Text Char Char Char2,Footnote Text Char1 Char1,single space Char Char1,ft Char Char1,- OP Char1,Fußnote Char1,Podrozdział Char1"/>
    <w:basedOn w:val="DefaultParagraphFont"/>
    <w:link w:val="FootnoteText"/>
    <w:uiPriority w:val="99"/>
    <w:locked/>
    <w:rsid w:val="001339DE"/>
    <w:rPr>
      <w:rFonts w:ascii="Calibri" w:hAnsi="Calibri" w:cs="Times New Roman"/>
      <w:sz w:val="20"/>
      <w:szCs w:val="20"/>
      <w:lang w:val="en-GB"/>
    </w:rPr>
  </w:style>
  <w:style w:type="paragraph" w:customStyle="1" w:styleId="Ref">
    <w:name w:val="Ref"/>
    <w:aliases w:val="Footnotes refs"/>
    <w:basedOn w:val="Normal"/>
    <w:link w:val="FootnoteReference"/>
    <w:uiPriority w:val="99"/>
    <w:rsid w:val="001339DE"/>
    <w:pPr>
      <w:spacing w:line="240" w:lineRule="exact"/>
    </w:pPr>
    <w:rPr>
      <w:lang w:val="en-US"/>
    </w:rPr>
  </w:style>
  <w:style w:type="character" w:styleId="FollowedHyperlink">
    <w:name w:val="FollowedHyperlink"/>
    <w:basedOn w:val="DefaultParagraphFont"/>
    <w:uiPriority w:val="99"/>
    <w:semiHidden/>
    <w:rsid w:val="001339DE"/>
    <w:rPr>
      <w:rFonts w:cs="Times New Roman"/>
      <w:color w:val="954F72"/>
      <w:u w:val="single"/>
    </w:rPr>
  </w:style>
  <w:style w:type="paragraph" w:styleId="ListParagraph">
    <w:name w:val="List Paragraph"/>
    <w:basedOn w:val="Normal"/>
    <w:uiPriority w:val="34"/>
    <w:qFormat/>
    <w:rsid w:val="00EC084B"/>
    <w:pPr>
      <w:ind w:left="720"/>
      <w:contextualSpacing/>
    </w:pPr>
  </w:style>
  <w:style w:type="character" w:styleId="CommentReference">
    <w:name w:val="annotation reference"/>
    <w:basedOn w:val="DefaultParagraphFont"/>
    <w:uiPriority w:val="99"/>
    <w:semiHidden/>
    <w:rsid w:val="00BD6828"/>
    <w:rPr>
      <w:rFonts w:cs="Times New Roman"/>
      <w:sz w:val="16"/>
      <w:szCs w:val="16"/>
    </w:rPr>
  </w:style>
  <w:style w:type="paragraph" w:styleId="CommentText">
    <w:name w:val="annotation text"/>
    <w:basedOn w:val="Normal"/>
    <w:link w:val="CommentTextChar"/>
    <w:uiPriority w:val="99"/>
    <w:rsid w:val="00BD6828"/>
    <w:pPr>
      <w:spacing w:line="240" w:lineRule="auto"/>
    </w:pPr>
    <w:rPr>
      <w:sz w:val="20"/>
      <w:szCs w:val="20"/>
    </w:rPr>
  </w:style>
  <w:style w:type="character" w:customStyle="1" w:styleId="CommentTextChar">
    <w:name w:val="Comment Text Char"/>
    <w:basedOn w:val="DefaultParagraphFont"/>
    <w:link w:val="CommentText"/>
    <w:uiPriority w:val="99"/>
    <w:locked/>
    <w:rsid w:val="00BD6828"/>
    <w:rPr>
      <w:rFonts w:cs="Times New Roman"/>
      <w:sz w:val="20"/>
      <w:szCs w:val="20"/>
      <w:lang w:val="en-GB"/>
    </w:rPr>
  </w:style>
  <w:style w:type="paragraph" w:styleId="BalloonText">
    <w:name w:val="Balloon Text"/>
    <w:basedOn w:val="Normal"/>
    <w:link w:val="BalloonTextChar"/>
    <w:uiPriority w:val="99"/>
    <w:semiHidden/>
    <w:rsid w:val="0028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0471"/>
    <w:rPr>
      <w:rFonts w:ascii="Segoe UI" w:hAnsi="Segoe UI" w:cs="Segoe UI"/>
      <w:sz w:val="18"/>
      <w:szCs w:val="18"/>
      <w:lang w:val="en-GB"/>
    </w:rPr>
  </w:style>
  <w:style w:type="paragraph" w:styleId="Header">
    <w:name w:val="header"/>
    <w:basedOn w:val="Normal"/>
    <w:link w:val="HeaderChar"/>
    <w:uiPriority w:val="99"/>
    <w:rsid w:val="004D585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D5851"/>
    <w:rPr>
      <w:rFonts w:cs="Times New Roman"/>
      <w:lang w:val="en-GB"/>
    </w:rPr>
  </w:style>
  <w:style w:type="paragraph" w:styleId="Footer">
    <w:name w:val="footer"/>
    <w:basedOn w:val="Normal"/>
    <w:link w:val="FooterChar"/>
    <w:uiPriority w:val="99"/>
    <w:rsid w:val="004D585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5851"/>
    <w:rPr>
      <w:rFonts w:cs="Times New Roman"/>
      <w:lang w:val="en-GB"/>
    </w:rPr>
  </w:style>
  <w:style w:type="paragraph" w:styleId="CommentSubject">
    <w:name w:val="annotation subject"/>
    <w:basedOn w:val="CommentText"/>
    <w:next w:val="CommentText"/>
    <w:link w:val="CommentSubjectChar"/>
    <w:uiPriority w:val="99"/>
    <w:semiHidden/>
    <w:rsid w:val="001044B8"/>
    <w:rPr>
      <w:b/>
      <w:bCs/>
    </w:rPr>
  </w:style>
  <w:style w:type="character" w:customStyle="1" w:styleId="CommentSubjectChar">
    <w:name w:val="Comment Subject Char"/>
    <w:basedOn w:val="CommentTextChar"/>
    <w:link w:val="CommentSubject"/>
    <w:uiPriority w:val="99"/>
    <w:semiHidden/>
    <w:locked/>
    <w:rsid w:val="001044B8"/>
    <w:rPr>
      <w:rFonts w:cs="Times New Roman"/>
      <w:b/>
      <w:bCs/>
      <w:sz w:val="20"/>
      <w:szCs w:val="20"/>
      <w:lang w:val="en-GB"/>
    </w:rPr>
  </w:style>
  <w:style w:type="paragraph" w:customStyle="1" w:styleId="Text1">
    <w:name w:val="Text 1"/>
    <w:basedOn w:val="Normal"/>
    <w:link w:val="Text1Znak"/>
    <w:uiPriority w:val="99"/>
    <w:rsid w:val="002125BA"/>
    <w:pPr>
      <w:spacing w:after="240" w:line="240" w:lineRule="auto"/>
      <w:ind w:left="1492" w:right="692" w:hanging="360"/>
      <w:jc w:val="both"/>
    </w:pPr>
    <w:rPr>
      <w:rFonts w:ascii="Times New Roman" w:hAnsi="Times New Roman"/>
      <w:sz w:val="20"/>
      <w:szCs w:val="20"/>
      <w:lang w:val="en-US"/>
    </w:rPr>
  </w:style>
  <w:style w:type="character" w:customStyle="1" w:styleId="Text1Znak">
    <w:name w:val="Text 1 Znak"/>
    <w:link w:val="Text1"/>
    <w:uiPriority w:val="99"/>
    <w:locked/>
    <w:rsid w:val="002125BA"/>
    <w:rPr>
      <w:rFonts w:ascii="Times New Roman" w:hAnsi="Times New Roman"/>
      <w:sz w:val="20"/>
    </w:rPr>
  </w:style>
  <w:style w:type="paragraph" w:styleId="Revision">
    <w:name w:val="Revision"/>
    <w:hidden/>
    <w:uiPriority w:val="99"/>
    <w:semiHidden/>
    <w:rsid w:val="00A93736"/>
    <w:rPr>
      <w:lang w:val="en-GB"/>
    </w:rPr>
  </w:style>
  <w:style w:type="character" w:styleId="PlaceholderText">
    <w:name w:val="Placeholder Text"/>
    <w:basedOn w:val="DefaultParagraphFont"/>
    <w:uiPriority w:val="99"/>
    <w:semiHidden/>
    <w:rsid w:val="0089259A"/>
    <w:rPr>
      <w:rFonts w:cs="Times New Roman"/>
      <w:color w:val="808080"/>
    </w:rPr>
  </w:style>
  <w:style w:type="paragraph" w:styleId="Subtitle">
    <w:name w:val="Subtitle"/>
    <w:basedOn w:val="Normal"/>
    <w:next w:val="Normal"/>
    <w:link w:val="SubtitleChar"/>
    <w:uiPriority w:val="99"/>
    <w:qFormat/>
    <w:rsid w:val="00A305B6"/>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A305B6"/>
    <w:rPr>
      <w:rFonts w:eastAsia="Times New Roman" w:cs="Times New Roman"/>
      <w:color w:val="5A5A5A"/>
      <w:spacing w:val="15"/>
      <w:lang w:val="en-GB"/>
    </w:rPr>
  </w:style>
  <w:style w:type="table" w:customStyle="1" w:styleId="GridTable1Light-Accent31">
    <w:name w:val="Grid Table 1 Light - Accent 31"/>
    <w:uiPriority w:val="99"/>
    <w:rsid w:val="00820227"/>
    <w:rPr>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paragraph" w:styleId="NoSpacing">
    <w:name w:val="No Spacing"/>
    <w:uiPriority w:val="1"/>
    <w:qFormat/>
    <w:rsid w:val="0073190D"/>
    <w:rPr>
      <w:rFonts w:eastAsia="Times New Roman"/>
    </w:rPr>
  </w:style>
  <w:style w:type="paragraph" w:customStyle="1" w:styleId="Naslovi1">
    <w:name w:val="Naslovi 1"/>
    <w:basedOn w:val="NormalWeb"/>
    <w:link w:val="Naslovi1Char"/>
    <w:qFormat/>
    <w:rsid w:val="0073190D"/>
    <w:pPr>
      <w:shd w:val="clear" w:color="auto" w:fill="FFFFFF"/>
      <w:spacing w:after="200" w:line="240" w:lineRule="auto"/>
    </w:pPr>
    <w:rPr>
      <w:rFonts w:ascii="Corbel" w:eastAsia="Times New Roman" w:hAnsi="Corbel" w:cs="Open Sans"/>
      <w:noProof/>
      <w:color w:val="2644A6"/>
      <w:kern w:val="17"/>
      <w:sz w:val="31"/>
      <w:szCs w:val="31"/>
      <w:lang w:eastAsia="en-GB"/>
    </w:rPr>
  </w:style>
  <w:style w:type="character" w:customStyle="1" w:styleId="Naslovi1Char">
    <w:name w:val="Naslovi 1 Char"/>
    <w:basedOn w:val="DefaultParagraphFont"/>
    <w:link w:val="Naslovi1"/>
    <w:rsid w:val="0073190D"/>
    <w:rPr>
      <w:rFonts w:ascii="Corbel" w:eastAsia="Times New Roman" w:hAnsi="Corbel" w:cs="Open Sans"/>
      <w:noProof/>
      <w:color w:val="2644A6"/>
      <w:kern w:val="17"/>
      <w:sz w:val="31"/>
      <w:szCs w:val="31"/>
      <w:shd w:val="clear" w:color="auto" w:fill="FFFFFF"/>
      <w:lang w:val="en-GB" w:eastAsia="en-GB"/>
    </w:rPr>
  </w:style>
  <w:style w:type="paragraph" w:styleId="NormalWeb">
    <w:name w:val="Normal (Web)"/>
    <w:basedOn w:val="Normal"/>
    <w:uiPriority w:val="99"/>
    <w:semiHidden/>
    <w:unhideWhenUsed/>
    <w:rsid w:val="0073190D"/>
    <w:rPr>
      <w:rFonts w:ascii="Times New Roman" w:hAnsi="Times New Roman"/>
      <w:sz w:val="24"/>
      <w:szCs w:val="24"/>
    </w:rPr>
  </w:style>
  <w:style w:type="paragraph" w:styleId="TOCHeading">
    <w:name w:val="TOC Heading"/>
    <w:basedOn w:val="Heading1"/>
    <w:next w:val="Normal"/>
    <w:uiPriority w:val="39"/>
    <w:unhideWhenUsed/>
    <w:qFormat/>
    <w:rsid w:val="00F75B33"/>
    <w:pPr>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locked/>
    <w:rsid w:val="00F75B33"/>
    <w:pPr>
      <w:spacing w:after="100"/>
      <w:ind w:left="220"/>
    </w:pPr>
  </w:style>
  <w:style w:type="paragraph" w:styleId="TOC3">
    <w:name w:val="toc 3"/>
    <w:basedOn w:val="Normal"/>
    <w:next w:val="Normal"/>
    <w:autoRedefine/>
    <w:uiPriority w:val="39"/>
    <w:locked/>
    <w:rsid w:val="00F75B33"/>
    <w:pPr>
      <w:spacing w:after="100"/>
      <w:ind w:left="440"/>
    </w:pPr>
  </w:style>
  <w:style w:type="paragraph" w:styleId="TOC1">
    <w:name w:val="toc 1"/>
    <w:basedOn w:val="Normal"/>
    <w:next w:val="Normal"/>
    <w:autoRedefine/>
    <w:uiPriority w:val="39"/>
    <w:unhideWhenUsed/>
    <w:locked/>
    <w:rsid w:val="00F67405"/>
    <w:pPr>
      <w:spacing w:after="10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229393">
      <w:marLeft w:val="0"/>
      <w:marRight w:val="0"/>
      <w:marTop w:val="0"/>
      <w:marBottom w:val="0"/>
      <w:divBdr>
        <w:top w:val="none" w:sz="0" w:space="0" w:color="auto"/>
        <w:left w:val="none" w:sz="0" w:space="0" w:color="auto"/>
        <w:bottom w:val="none" w:sz="0" w:space="0" w:color="auto"/>
        <w:right w:val="none" w:sz="0" w:space="0" w:color="auto"/>
      </w:divBdr>
    </w:div>
    <w:div w:id="2020229394">
      <w:marLeft w:val="0"/>
      <w:marRight w:val="0"/>
      <w:marTop w:val="0"/>
      <w:marBottom w:val="0"/>
      <w:divBdr>
        <w:top w:val="none" w:sz="0" w:space="0" w:color="auto"/>
        <w:left w:val="none" w:sz="0" w:space="0" w:color="auto"/>
        <w:bottom w:val="none" w:sz="0" w:space="0" w:color="auto"/>
        <w:right w:val="none" w:sz="0" w:space="0" w:color="auto"/>
      </w:divBdr>
      <w:divsChild>
        <w:div w:id="2020229399">
          <w:marLeft w:val="446"/>
          <w:marRight w:val="0"/>
          <w:marTop w:val="0"/>
          <w:marBottom w:val="0"/>
          <w:divBdr>
            <w:top w:val="none" w:sz="0" w:space="0" w:color="auto"/>
            <w:left w:val="none" w:sz="0" w:space="0" w:color="auto"/>
            <w:bottom w:val="none" w:sz="0" w:space="0" w:color="auto"/>
            <w:right w:val="none" w:sz="0" w:space="0" w:color="auto"/>
          </w:divBdr>
        </w:div>
      </w:divsChild>
    </w:div>
    <w:div w:id="2020229395">
      <w:marLeft w:val="0"/>
      <w:marRight w:val="0"/>
      <w:marTop w:val="0"/>
      <w:marBottom w:val="0"/>
      <w:divBdr>
        <w:top w:val="none" w:sz="0" w:space="0" w:color="auto"/>
        <w:left w:val="none" w:sz="0" w:space="0" w:color="auto"/>
        <w:bottom w:val="none" w:sz="0" w:space="0" w:color="auto"/>
        <w:right w:val="none" w:sz="0" w:space="0" w:color="auto"/>
      </w:divBdr>
    </w:div>
    <w:div w:id="2020229400">
      <w:marLeft w:val="0"/>
      <w:marRight w:val="0"/>
      <w:marTop w:val="0"/>
      <w:marBottom w:val="0"/>
      <w:divBdr>
        <w:top w:val="none" w:sz="0" w:space="0" w:color="auto"/>
        <w:left w:val="none" w:sz="0" w:space="0" w:color="auto"/>
        <w:bottom w:val="none" w:sz="0" w:space="0" w:color="auto"/>
        <w:right w:val="none" w:sz="0" w:space="0" w:color="auto"/>
      </w:divBdr>
      <w:divsChild>
        <w:div w:id="2020229398">
          <w:marLeft w:val="446"/>
          <w:marRight w:val="0"/>
          <w:marTop w:val="0"/>
          <w:marBottom w:val="0"/>
          <w:divBdr>
            <w:top w:val="none" w:sz="0" w:space="0" w:color="auto"/>
            <w:left w:val="none" w:sz="0" w:space="0" w:color="auto"/>
            <w:bottom w:val="none" w:sz="0" w:space="0" w:color="auto"/>
            <w:right w:val="none" w:sz="0" w:space="0" w:color="auto"/>
          </w:divBdr>
        </w:div>
      </w:divsChild>
    </w:div>
    <w:div w:id="2020229401">
      <w:marLeft w:val="0"/>
      <w:marRight w:val="0"/>
      <w:marTop w:val="0"/>
      <w:marBottom w:val="0"/>
      <w:divBdr>
        <w:top w:val="none" w:sz="0" w:space="0" w:color="auto"/>
        <w:left w:val="none" w:sz="0" w:space="0" w:color="auto"/>
        <w:bottom w:val="none" w:sz="0" w:space="0" w:color="auto"/>
        <w:right w:val="none" w:sz="0" w:space="0" w:color="auto"/>
      </w:divBdr>
      <w:divsChild>
        <w:div w:id="2020229396">
          <w:marLeft w:val="547"/>
          <w:marRight w:val="0"/>
          <w:marTop w:val="77"/>
          <w:marBottom w:val="0"/>
          <w:divBdr>
            <w:top w:val="none" w:sz="0" w:space="0" w:color="auto"/>
            <w:left w:val="none" w:sz="0" w:space="0" w:color="auto"/>
            <w:bottom w:val="none" w:sz="0" w:space="0" w:color="auto"/>
            <w:right w:val="none" w:sz="0" w:space="0" w:color="auto"/>
          </w:divBdr>
        </w:div>
        <w:div w:id="2020229397">
          <w:marLeft w:val="547"/>
          <w:marRight w:val="0"/>
          <w:marTop w:val="77"/>
          <w:marBottom w:val="0"/>
          <w:divBdr>
            <w:top w:val="none" w:sz="0" w:space="0" w:color="auto"/>
            <w:left w:val="none" w:sz="0" w:space="0" w:color="auto"/>
            <w:bottom w:val="none" w:sz="0" w:space="0" w:color="auto"/>
            <w:right w:val="none" w:sz="0" w:space="0" w:color="auto"/>
          </w:divBdr>
        </w:div>
      </w:divsChild>
    </w:div>
    <w:div w:id="2020229402">
      <w:marLeft w:val="0"/>
      <w:marRight w:val="0"/>
      <w:marTop w:val="0"/>
      <w:marBottom w:val="0"/>
      <w:divBdr>
        <w:top w:val="none" w:sz="0" w:space="0" w:color="auto"/>
        <w:left w:val="none" w:sz="0" w:space="0" w:color="auto"/>
        <w:bottom w:val="none" w:sz="0" w:space="0" w:color="auto"/>
        <w:right w:val="none" w:sz="0" w:space="0" w:color="auto"/>
      </w:divBdr>
    </w:div>
    <w:div w:id="2020229403">
      <w:marLeft w:val="0"/>
      <w:marRight w:val="0"/>
      <w:marTop w:val="0"/>
      <w:marBottom w:val="0"/>
      <w:divBdr>
        <w:top w:val="none" w:sz="0" w:space="0" w:color="auto"/>
        <w:left w:val="none" w:sz="0" w:space="0" w:color="auto"/>
        <w:bottom w:val="none" w:sz="0" w:space="0" w:color="auto"/>
        <w:right w:val="none" w:sz="0" w:space="0" w:color="auto"/>
      </w:divBdr>
    </w:div>
    <w:div w:id="2020229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oc.applications@unop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soc.cfp.clarifications@unops.org" TargetMode="External"/><Relationship Id="rId4" Type="http://schemas.openxmlformats.org/officeDocument/2006/relationships/settings" Target="settings.xml"/><Relationship Id="rId9" Type="http://schemas.openxmlformats.org/officeDocument/2006/relationships/hyperlink" Target="mailto:rsoc.applications@unops.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fin.gov.rs/UserFiles/File/zakoni/2013/ZAKON%20O%20RACUNOVODSTVU.pdf" TargetMode="External"/><Relationship Id="rId3" Type="http://schemas.openxmlformats.org/officeDocument/2006/relationships/hyperlink" Target="http://www.evropa.gov.rs/Documents/Home/DACU/12/74/NAD%202014-2017%20with%20projections%20until%202020%20(english).pdf" TargetMode="External"/><Relationship Id="rId7" Type="http://schemas.openxmlformats.org/officeDocument/2006/relationships/hyperlink" Target="https://ec.europa.eu/europeaid/node/17974" TargetMode="External"/><Relationship Id="rId2" Type="http://schemas.openxmlformats.org/officeDocument/2006/relationships/hyperlink" Target="http://www.mfin.gov.rs/UserFiles/File/zakoni/2013/ZAKON%20O%20RACUNOVODSTVU.pdf" TargetMode="External"/><Relationship Id="rId1" Type="http://schemas.openxmlformats.org/officeDocument/2006/relationships/hyperlink" Target="http://europa.rs/eu-assistance-to-serbia/ipa/ipa-2016/?lang=en" TargetMode="External"/><Relationship Id="rId6" Type="http://schemas.openxmlformats.org/officeDocument/2006/relationships/hyperlink" Target="http://www.mfin.gov.rs/UserFiles/File/strategije/ERP%202017-2019(1).pdf" TargetMode="External"/><Relationship Id="rId5" Type="http://schemas.openxmlformats.org/officeDocument/2006/relationships/hyperlink" Target="http://www.privreda.gov.rs/wp-content/uploads/2016/09/Izvestaj-O-Stanju-MSPP-2014-25-Decembar-2015.pdf" TargetMode="External"/><Relationship Id="rId4" Type="http://schemas.openxmlformats.org/officeDocument/2006/relationships/hyperlink" Target="http://www.privreda.gov.rs/wp-content/uploads/2017/01/Strategija-I-Plan_eng_poslednj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DE5A-9968-459B-A0FC-8B83AB00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13</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Public Call for Proposals for Procurement of Equipment and Provision of Services for Entrepreneurs, Micro and SmallEnterprises</vt:lpstr>
    </vt:vector>
  </TitlesOfParts>
  <Company>Microsoft</Company>
  <LinksUpToDate>false</LinksUpToDate>
  <CharactersWithSpaces>22960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Call for Proposals for Procurement of Equipment and Provision of Services for Entrepreneurs, Micro and SmallEnterprises</dc:title>
  <dc:subject/>
  <dc:creator>Olivera KOSTIC</dc:creator>
  <cp:keywords/>
  <dc:description/>
  <cp:lastModifiedBy>Olivera KOSTIC</cp:lastModifiedBy>
  <cp:revision>18</cp:revision>
  <dcterms:created xsi:type="dcterms:W3CDTF">2018-05-21T06:54:00Z</dcterms:created>
  <dcterms:modified xsi:type="dcterms:W3CDTF">2018-05-21T22:18:00Z</dcterms:modified>
</cp:coreProperties>
</file>