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0416D5">
            <w:pPr>
              <w:spacing w:after="240"/>
              <w:rPr>
                <w:rStyle w:val="Documenttitle"/>
                <w:lang w:val="en-GB"/>
              </w:rPr>
            </w:pPr>
            <w:r w:rsidRPr="00E64111">
              <w:rPr>
                <w:rStyle w:val="Documenttitle"/>
                <w:caps w:val="0"/>
                <w:lang w:val="en-GB"/>
              </w:rPr>
              <w:t xml:space="preserve">Request for Quotation (RFQ) for </w:t>
            </w:r>
            <w:r w:rsidR="000416D5">
              <w:rPr>
                <w:rStyle w:val="Documenttitle"/>
                <w:caps w:val="0"/>
                <w:lang w:val="en-GB"/>
              </w:rPr>
              <w:t>Services</w:t>
            </w:r>
          </w:p>
        </w:tc>
      </w:tr>
      <w:tr w:rsidR="00BC5D16" w:rsidRPr="00E64111" w:rsidTr="00BC5D16">
        <w:trPr>
          <w:trHeight w:val="284"/>
        </w:trPr>
        <w:tc>
          <w:tcPr>
            <w:tcW w:w="8147" w:type="dxa"/>
          </w:tcPr>
          <w:p w:rsidR="00BC5D16" w:rsidRPr="00E64111" w:rsidRDefault="00EE5E9B"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Returnable Bidding Forms</w:t>
            </w:r>
          </w:p>
        </w:tc>
      </w:tr>
      <w:tr w:rsidR="00BC5D16" w:rsidRPr="00E64111" w:rsidTr="00664F05">
        <w:tc>
          <w:tcPr>
            <w:tcW w:w="8147" w:type="dxa"/>
            <w:shd w:val="clear" w:color="auto" w:fill="auto"/>
          </w:tcPr>
          <w:p w:rsidR="00BC5D16" w:rsidRPr="00664F05" w:rsidRDefault="00E5240F" w:rsidP="00664F05">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664F05" w:rsidRPr="00664F05">
              <w:rPr>
                <w:rFonts w:ascii="Arial" w:hAnsi="Arial" w:cs="Arial"/>
                <w:sz w:val="32"/>
                <w:szCs w:val="32"/>
                <w:lang w:val="en-GB"/>
              </w:rPr>
              <w:t>50</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6C33AA" w:rsidP="00BC3C5B">
            <w:pPr>
              <w:jc w:val="center"/>
              <w:rPr>
                <w:rFonts w:eastAsia="Calibri"/>
                <w:b/>
                <w:snapToGrid w:val="0"/>
              </w:rPr>
            </w:pPr>
            <w:r w:rsidRPr="006C33AA">
              <w:rPr>
                <w:rFonts w:eastAsia="Calibri"/>
                <w:b/>
                <w:snapToGrid w:val="0"/>
              </w:rPr>
              <w:t>Provision of consultancy services for protection of designation of origin and geographical indication for three traditional products</w:t>
            </w:r>
            <w:r w:rsidR="00BC3C5B" w:rsidRPr="00BC3C5B">
              <w:rPr>
                <w:rFonts w:eastAsia="Calibri"/>
                <w:b/>
                <w:snapToGrid w:val="0"/>
              </w:rPr>
              <w:t xml:space="preserve">, as specified in the </w:t>
            </w:r>
            <w:proofErr w:type="spellStart"/>
            <w:r w:rsidR="00BC3C5B" w:rsidRPr="00BC3C5B">
              <w:rPr>
                <w:rFonts w:eastAsia="Calibri"/>
                <w:b/>
                <w:snapToGrid w:val="0"/>
              </w:rPr>
              <w:t>ToR</w:t>
            </w:r>
            <w:proofErr w:type="spellEnd"/>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FF51FF" w:rsidRPr="0038457B" w:rsidTr="00FF5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FF51FF" w:rsidP="00BC3C5B">
            <w:pPr>
              <w:rPr>
                <w:rFonts w:eastAsia="Calibri"/>
                <w:snapToGrid w:val="0"/>
              </w:rPr>
            </w:pPr>
            <w:r>
              <w:rPr>
                <w:rFonts w:eastAsia="Calibri"/>
                <w:snapToGrid w:val="0"/>
              </w:rPr>
              <w:t xml:space="preserve">LOT 1 – Registration of </w:t>
            </w:r>
            <w:proofErr w:type="spellStart"/>
            <w:r>
              <w:rPr>
                <w:rFonts w:eastAsia="Calibri"/>
                <w:snapToGrid w:val="0"/>
              </w:rPr>
              <w:t>Sjenicka</w:t>
            </w:r>
            <w:proofErr w:type="spellEnd"/>
            <w:r>
              <w:rPr>
                <w:rFonts w:eastAsia="Calibri"/>
                <w:snapToGrid w:val="0"/>
              </w:rPr>
              <w:t xml:space="preserve"> </w:t>
            </w:r>
            <w:proofErr w:type="spellStart"/>
            <w:r>
              <w:rPr>
                <w:rFonts w:eastAsia="Calibri"/>
                <w:snapToGrid w:val="0"/>
              </w:rPr>
              <w:t>stelja</w:t>
            </w:r>
            <w:proofErr w:type="spellEnd"/>
            <w:r>
              <w:rPr>
                <w:rFonts w:eastAsia="Calibri"/>
                <w:snapToGrid w:val="0"/>
              </w:rPr>
              <w:t xml:space="preserve"> for Protected Designation of Origin</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BC3C5B">
            <w:pPr>
              <w:jc w:val="right"/>
              <w:rPr>
                <w:rFonts w:eastAsia="Calibri"/>
                <w:b/>
                <w:snapToGrid w:val="0"/>
              </w:rPr>
            </w:pPr>
            <w:r w:rsidRPr="007951BF">
              <w:rPr>
                <w:rFonts w:eastAsia="Calibri"/>
                <w:b/>
                <w:snapToGrid w:val="0"/>
              </w:rPr>
              <w:t>TOTAL</w:t>
            </w:r>
            <w:r w:rsidR="00FF51FF">
              <w:rPr>
                <w:rFonts w:eastAsia="Calibri"/>
                <w:b/>
                <w:snapToGrid w:val="0"/>
              </w:rPr>
              <w:t xml:space="preserve"> for LOT 1</w:t>
            </w:r>
            <w:r w:rsidRPr="007951BF">
              <w:rPr>
                <w:rFonts w:eastAsia="Calibri"/>
                <w:b/>
                <w:snapToGrid w:val="0"/>
              </w:rPr>
              <w:t xml:space="preserve"> </w:t>
            </w:r>
          </w:p>
        </w:tc>
        <w:tc>
          <w:tcPr>
            <w:tcW w:w="970" w:type="pct"/>
          </w:tcPr>
          <w:p w:rsidR="00BC3C5B" w:rsidRPr="0038457B" w:rsidRDefault="00BC3C5B" w:rsidP="00BC3C5B">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FF51FF" w:rsidP="00FF51FF">
            <w:pPr>
              <w:rPr>
                <w:rFonts w:eastAsia="Calibri"/>
                <w:snapToGrid w:val="0"/>
              </w:rPr>
            </w:pPr>
            <w:r>
              <w:rPr>
                <w:rFonts w:eastAsia="Calibri"/>
                <w:snapToGrid w:val="0"/>
              </w:rPr>
              <w:t xml:space="preserve">LOT 2 – Registration of </w:t>
            </w:r>
            <w:proofErr w:type="spellStart"/>
            <w:r>
              <w:rPr>
                <w:rFonts w:eastAsia="Calibri"/>
                <w:snapToGrid w:val="0"/>
              </w:rPr>
              <w:t>Ivanjica</w:t>
            </w:r>
            <w:proofErr w:type="spellEnd"/>
            <w:r>
              <w:rPr>
                <w:rFonts w:eastAsia="Calibri"/>
                <w:snapToGrid w:val="0"/>
              </w:rPr>
              <w:t xml:space="preserve"> potato for Protected Geographical Indication</w:t>
            </w: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b/>
                <w:snapToGrid w:val="0"/>
              </w:rPr>
            </w:pPr>
            <w:r>
              <w:rPr>
                <w:rFonts w:eastAsia="Calibri"/>
                <w:b/>
                <w:snapToGrid w:val="0"/>
              </w:rPr>
              <w:t>Personnel</w:t>
            </w: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FF51FF" w:rsidRPr="0038457B" w:rsidRDefault="00FF51FF" w:rsidP="00664F05">
            <w:pPr>
              <w:rPr>
                <w:rFonts w:eastAsia="Calibri"/>
                <w:b/>
                <w:snapToGrid w:val="0"/>
              </w:rPr>
            </w:pPr>
            <w:r>
              <w:rPr>
                <w:rFonts w:eastAsia="Calibri"/>
                <w:b/>
                <w:snapToGrid w:val="0"/>
              </w:rPr>
              <w:t xml:space="preserve">Other expenses </w:t>
            </w: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FF51FF" w:rsidRPr="0038457B" w:rsidRDefault="00FF51FF" w:rsidP="00FF51FF">
            <w:pPr>
              <w:jc w:val="right"/>
              <w:rPr>
                <w:rFonts w:eastAsia="Calibri"/>
                <w:b/>
                <w:snapToGrid w:val="0"/>
              </w:rPr>
            </w:pPr>
            <w:r w:rsidRPr="007951BF">
              <w:rPr>
                <w:rFonts w:eastAsia="Calibri"/>
                <w:b/>
                <w:snapToGrid w:val="0"/>
              </w:rPr>
              <w:t>TOTAL</w:t>
            </w:r>
            <w:r>
              <w:rPr>
                <w:rFonts w:eastAsia="Calibri"/>
                <w:b/>
                <w:snapToGrid w:val="0"/>
              </w:rPr>
              <w:t xml:space="preserve"> for LOT 2</w:t>
            </w:r>
            <w:r w:rsidRPr="007951BF">
              <w:rPr>
                <w:rFonts w:eastAsia="Calibri"/>
                <w:b/>
                <w:snapToGrid w:val="0"/>
              </w:rPr>
              <w:t xml:space="preserve"> </w:t>
            </w: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5000" w:type="pct"/>
            <w:gridSpan w:val="5"/>
            <w:vAlign w:val="center"/>
          </w:tcPr>
          <w:p w:rsidR="00FF51FF" w:rsidRPr="0038457B" w:rsidRDefault="00FF51FF" w:rsidP="00FF51FF">
            <w:pPr>
              <w:rPr>
                <w:rFonts w:eastAsia="Calibri"/>
                <w:snapToGrid w:val="0"/>
              </w:rPr>
            </w:pPr>
            <w:r>
              <w:rPr>
                <w:rFonts w:eastAsia="Calibri"/>
                <w:snapToGrid w:val="0"/>
              </w:rPr>
              <w:t xml:space="preserve">LOT 3 – Registration of </w:t>
            </w:r>
            <w:proofErr w:type="spellStart"/>
            <w:r>
              <w:rPr>
                <w:rFonts w:eastAsia="Calibri"/>
                <w:snapToGrid w:val="0"/>
              </w:rPr>
              <w:t>Vlasina</w:t>
            </w:r>
            <w:proofErr w:type="spellEnd"/>
            <w:r>
              <w:rPr>
                <w:rFonts w:eastAsia="Calibri"/>
                <w:snapToGrid w:val="0"/>
              </w:rPr>
              <w:t xml:space="preserve"> honey for Protected Designation of Origin</w:t>
            </w: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b/>
                <w:snapToGrid w:val="0"/>
              </w:rPr>
            </w:pPr>
            <w:r>
              <w:rPr>
                <w:rFonts w:eastAsia="Calibri"/>
                <w:b/>
                <w:snapToGrid w:val="0"/>
              </w:rPr>
              <w:t>Personnel</w:t>
            </w: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FF51FF"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FF51FF" w:rsidRPr="0038457B" w:rsidRDefault="00FF51FF" w:rsidP="00664F05">
            <w:pPr>
              <w:rPr>
                <w:rFonts w:eastAsia="Calibri"/>
                <w:b/>
                <w:snapToGrid w:val="0"/>
              </w:rPr>
            </w:pPr>
            <w:r>
              <w:rPr>
                <w:rFonts w:eastAsia="Calibri"/>
                <w:b/>
                <w:snapToGrid w:val="0"/>
              </w:rPr>
              <w:lastRenderedPageBreak/>
              <w:t xml:space="preserve">Other expenses </w:t>
            </w: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FF51FF" w:rsidRPr="0038457B" w:rsidRDefault="00FF51FF" w:rsidP="00664F05">
            <w:pPr>
              <w:rPr>
                <w:rFonts w:eastAsia="Calibri"/>
                <w:snapToGrid w:val="0"/>
              </w:rPr>
            </w:pPr>
          </w:p>
        </w:tc>
        <w:tc>
          <w:tcPr>
            <w:tcW w:w="782" w:type="pct"/>
            <w:vAlign w:val="center"/>
          </w:tcPr>
          <w:p w:rsidR="00FF51FF" w:rsidRPr="0038457B" w:rsidRDefault="00FF51FF" w:rsidP="00664F05">
            <w:pPr>
              <w:rPr>
                <w:rFonts w:eastAsia="Calibri"/>
                <w:snapToGrid w:val="0"/>
              </w:rPr>
            </w:pPr>
          </w:p>
        </w:tc>
        <w:tc>
          <w:tcPr>
            <w:tcW w:w="753" w:type="pct"/>
            <w:vAlign w:val="center"/>
          </w:tcPr>
          <w:p w:rsidR="00FF51FF" w:rsidRPr="0038457B" w:rsidRDefault="00FF51FF" w:rsidP="00664F05">
            <w:pPr>
              <w:rPr>
                <w:rFonts w:eastAsia="Calibri"/>
                <w:snapToGrid w:val="0"/>
              </w:rPr>
            </w:pPr>
          </w:p>
        </w:tc>
        <w:tc>
          <w:tcPr>
            <w:tcW w:w="879" w:type="pct"/>
            <w:vAlign w:val="center"/>
          </w:tcPr>
          <w:p w:rsidR="00FF51FF" w:rsidRPr="0038457B" w:rsidRDefault="00FF51FF" w:rsidP="00664F05">
            <w:pPr>
              <w:rPr>
                <w:rFonts w:eastAsia="Calibri"/>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FF51FF" w:rsidRDefault="00FF51FF" w:rsidP="00664F05">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FF51FF" w:rsidRPr="0038457B" w:rsidRDefault="00FF51FF" w:rsidP="00664F05">
            <w:pPr>
              <w:jc w:val="right"/>
              <w:rPr>
                <w:rFonts w:eastAsia="Calibri"/>
                <w:b/>
                <w:snapToGrid w:val="0"/>
              </w:rPr>
            </w:pPr>
          </w:p>
        </w:tc>
        <w:tc>
          <w:tcPr>
            <w:tcW w:w="970" w:type="pct"/>
          </w:tcPr>
          <w:p w:rsidR="00FF51FF" w:rsidRPr="0038457B" w:rsidRDefault="00FF51FF" w:rsidP="00664F05">
            <w:pPr>
              <w:rPr>
                <w:rFonts w:eastAsia="Calibri"/>
                <w:snapToGrid w:val="0"/>
              </w:rPr>
            </w:pPr>
          </w:p>
        </w:tc>
      </w:tr>
      <w:tr w:rsidR="00FF51FF" w:rsidRPr="0038457B" w:rsidTr="00664F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FF51FF" w:rsidRPr="0038457B" w:rsidRDefault="00FF51FF" w:rsidP="00FF51FF">
            <w:pPr>
              <w:jc w:val="right"/>
              <w:rPr>
                <w:rFonts w:eastAsia="Calibri"/>
                <w:b/>
                <w:snapToGrid w:val="0"/>
              </w:rPr>
            </w:pPr>
            <w:r w:rsidRPr="007951BF">
              <w:rPr>
                <w:rFonts w:eastAsia="Calibri"/>
                <w:b/>
                <w:snapToGrid w:val="0"/>
              </w:rPr>
              <w:t>TOTAL</w:t>
            </w:r>
            <w:r>
              <w:rPr>
                <w:rFonts w:eastAsia="Calibri"/>
                <w:b/>
                <w:snapToGrid w:val="0"/>
              </w:rPr>
              <w:t xml:space="preserve"> for LOT 3</w:t>
            </w:r>
            <w:r w:rsidRPr="007951BF">
              <w:rPr>
                <w:rFonts w:eastAsia="Calibri"/>
                <w:b/>
                <w:snapToGrid w:val="0"/>
              </w:rPr>
              <w:t xml:space="preserve"> </w:t>
            </w:r>
          </w:p>
        </w:tc>
        <w:tc>
          <w:tcPr>
            <w:tcW w:w="970" w:type="pct"/>
          </w:tcPr>
          <w:p w:rsidR="00FF51FF" w:rsidRPr="0038457B" w:rsidRDefault="00FF51FF" w:rsidP="00664F05">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CE7A4D" w:rsidRDefault="00CE7A4D"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proofErr w:type="gramStart"/>
      <w:r w:rsidR="00A84049">
        <w:t>entities,</w:t>
      </w:r>
      <w:proofErr w:type="gramEnd"/>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June 2016 and it will end in </w:t>
            </w:r>
            <w:r w:rsidR="00B808C7">
              <w:rPr>
                <w:rFonts w:ascii="Arial" w:hAnsi="Arial"/>
                <w:lang w:eastAsia="en-US"/>
              </w:rPr>
              <w:t>March</w:t>
            </w:r>
            <w:r w:rsidRPr="00981334">
              <w:rPr>
                <w:rFonts w:ascii="Arial" w:hAnsi="Arial"/>
                <w:lang w:eastAsia="en-US"/>
              </w:rPr>
              <w:t xml:space="preserve"> 2017 (one month for preparation of the final report included).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C95E35"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C95E3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C95E35"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C95E3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C02" w:rsidRDefault="001A3C02">
      <w:r>
        <w:separator/>
      </w:r>
    </w:p>
  </w:endnote>
  <w:endnote w:type="continuationSeparator" w:id="0">
    <w:p w:rsidR="001A3C02" w:rsidRDefault="001A3C0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664F05" w:rsidRPr="00933BF0" w:rsidTr="0059057B">
      <w:tc>
        <w:tcPr>
          <w:tcW w:w="4596" w:type="dxa"/>
        </w:tcPr>
        <w:p w:rsidR="00664F05" w:rsidRPr="00933BF0" w:rsidRDefault="00664F05"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664F05" w:rsidRPr="00933BF0" w:rsidRDefault="00C95E35" w:rsidP="0059057B">
          <w:pPr>
            <w:pStyle w:val="Footer"/>
            <w:jc w:val="right"/>
            <w:rPr>
              <w:rFonts w:ascii="Arial" w:hAnsi="Arial"/>
              <w:sz w:val="18"/>
              <w:szCs w:val="18"/>
            </w:rPr>
          </w:pPr>
          <w:r w:rsidRPr="00933BF0">
            <w:rPr>
              <w:sz w:val="18"/>
              <w:szCs w:val="18"/>
            </w:rPr>
            <w:fldChar w:fldCharType="begin"/>
          </w:r>
          <w:r w:rsidR="00664F05" w:rsidRPr="00933BF0">
            <w:rPr>
              <w:rFonts w:ascii="Arial" w:hAnsi="Arial"/>
              <w:sz w:val="18"/>
              <w:szCs w:val="18"/>
            </w:rPr>
            <w:instrText xml:space="preserve"> PAGE   \* MERGEFORMAT </w:instrText>
          </w:r>
          <w:r w:rsidRPr="00933BF0">
            <w:rPr>
              <w:sz w:val="18"/>
              <w:szCs w:val="18"/>
            </w:rPr>
            <w:fldChar w:fldCharType="separate"/>
          </w:r>
          <w:r w:rsidR="00EE5E9B">
            <w:rPr>
              <w:rFonts w:ascii="Arial" w:hAnsi="Arial"/>
              <w:noProof/>
              <w:sz w:val="18"/>
              <w:szCs w:val="18"/>
            </w:rPr>
            <w:t>7</w:t>
          </w:r>
          <w:r w:rsidRPr="00933BF0">
            <w:rPr>
              <w:sz w:val="18"/>
              <w:szCs w:val="18"/>
            </w:rPr>
            <w:fldChar w:fldCharType="end"/>
          </w:r>
        </w:p>
      </w:tc>
    </w:tr>
  </w:tbl>
  <w:p w:rsidR="00664F05" w:rsidRDefault="00664F05"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C02" w:rsidRDefault="001A3C02">
      <w:r>
        <w:separator/>
      </w:r>
    </w:p>
  </w:footnote>
  <w:footnote w:type="continuationSeparator" w:id="0">
    <w:p w:rsidR="001A3C02" w:rsidRDefault="001A3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664F05" w:rsidRPr="00B22AB4" w:rsidTr="0059057B">
      <w:tc>
        <w:tcPr>
          <w:tcW w:w="9889" w:type="dxa"/>
        </w:tcPr>
        <w:p w:rsidR="00664F05" w:rsidRPr="00933BF0" w:rsidRDefault="00664F05" w:rsidP="00071AA8">
          <w:pPr>
            <w:pStyle w:val="Footer"/>
            <w:jc w:val="right"/>
            <w:rPr>
              <w:rFonts w:ascii="Arial" w:hAnsi="Arial"/>
              <w:sz w:val="18"/>
              <w:szCs w:val="18"/>
            </w:rPr>
          </w:pPr>
          <w:r>
            <w:rPr>
              <w:rFonts w:ascii="Arial" w:hAnsi="Arial"/>
              <w:sz w:val="18"/>
              <w:szCs w:val="18"/>
            </w:rPr>
            <w:t>RFQ Ref No: UNOPS-EP-2016-S-050</w:t>
          </w:r>
        </w:p>
      </w:tc>
    </w:tr>
  </w:tbl>
  <w:p w:rsidR="00664F05" w:rsidRDefault="00664F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F05" w:rsidRDefault="00664F05">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2">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6">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0"/>
  </w:num>
  <w:num w:numId="3">
    <w:abstractNumId w:val="1"/>
  </w:num>
  <w:num w:numId="4">
    <w:abstractNumId w:val="9"/>
  </w:num>
  <w:num w:numId="5">
    <w:abstractNumId w:val="5"/>
  </w:num>
  <w:num w:numId="6">
    <w:abstractNumId w:val="3"/>
  </w:num>
  <w:num w:numId="7">
    <w:abstractNumId w:val="4"/>
  </w:num>
  <w:num w:numId="8">
    <w:abstractNumId w:val="13"/>
  </w:num>
  <w:num w:numId="9">
    <w:abstractNumId w:val="25"/>
  </w:num>
  <w:num w:numId="10">
    <w:abstractNumId w:val="16"/>
  </w:num>
  <w:num w:numId="11">
    <w:abstractNumId w:val="6"/>
  </w:num>
  <w:num w:numId="12">
    <w:abstractNumId w:val="22"/>
  </w:num>
  <w:num w:numId="13">
    <w:abstractNumId w:val="2"/>
  </w:num>
  <w:num w:numId="14">
    <w:abstractNumId w:val="32"/>
  </w:num>
  <w:num w:numId="15">
    <w:abstractNumId w:val="8"/>
  </w:num>
  <w:num w:numId="16">
    <w:abstractNumId w:val="14"/>
  </w:num>
  <w:num w:numId="17">
    <w:abstractNumId w:val="28"/>
  </w:num>
  <w:num w:numId="18">
    <w:abstractNumId w:val="19"/>
  </w:num>
  <w:num w:numId="19">
    <w:abstractNumId w:val="7"/>
  </w:num>
  <w:num w:numId="20">
    <w:abstractNumId w:val="10"/>
  </w:num>
  <w:num w:numId="21">
    <w:abstractNumId w:val="24"/>
  </w:num>
  <w:num w:numId="22">
    <w:abstractNumId w:val="18"/>
  </w:num>
  <w:num w:numId="23">
    <w:abstractNumId w:val="20"/>
  </w:num>
  <w:num w:numId="24">
    <w:abstractNumId w:val="17"/>
  </w:num>
  <w:num w:numId="25">
    <w:abstractNumId w:val="23"/>
  </w:num>
  <w:num w:numId="26">
    <w:abstractNumId w:val="15"/>
  </w:num>
  <w:num w:numId="27">
    <w:abstractNumId w:val="21"/>
  </w:num>
  <w:num w:numId="28">
    <w:abstractNumId w:val="11"/>
  </w:num>
  <w:num w:numId="29">
    <w:abstractNumId w:val="30"/>
  </w:num>
  <w:num w:numId="30">
    <w:abstractNumId w:val="12"/>
  </w:num>
  <w:num w:numId="31">
    <w:abstractNumId w:val="27"/>
  </w:num>
  <w:num w:numId="32">
    <w:abstractNumId w:val="29"/>
  </w:num>
  <w:num w:numId="33">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7169"/>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C69"/>
    <w:rsid w:val="00536B6F"/>
    <w:rsid w:val="00536CF9"/>
    <w:rsid w:val="00536E28"/>
    <w:rsid w:val="0053719F"/>
    <w:rsid w:val="005402C8"/>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06ACF"/>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5E35"/>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5E9B"/>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1D41710F-B7A8-4883-A10C-82E57000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10607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2016-05-23T07:10:00Z</cp:lastPrinted>
  <dcterms:created xsi:type="dcterms:W3CDTF">2016-06-20T13:27:00Z</dcterms:created>
  <dcterms:modified xsi:type="dcterms:W3CDTF">2016-06-20T13:28:00Z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