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BC5D16" w:rsidP="000416D5">
            <w:pPr>
              <w:spacing w:after="240"/>
              <w:rPr>
                <w:rStyle w:val="Documenttitle"/>
                <w:lang w:val="en-GB"/>
              </w:rPr>
            </w:pPr>
            <w:r w:rsidRPr="00E64111">
              <w:rPr>
                <w:rStyle w:val="Documenttitle"/>
                <w:caps w:val="0"/>
                <w:lang w:val="en-GB"/>
              </w:rPr>
              <w:t xml:space="preserve">Request for Quotation (RFQ) for </w:t>
            </w:r>
            <w:r w:rsidR="000416D5">
              <w:rPr>
                <w:rStyle w:val="Documenttitle"/>
                <w:caps w:val="0"/>
                <w:lang w:val="en-GB"/>
              </w:rPr>
              <w:t>Services</w:t>
            </w:r>
          </w:p>
        </w:tc>
      </w:tr>
      <w:tr w:rsidR="00BC5D16" w:rsidRPr="00E64111" w:rsidTr="00BC5D16">
        <w:trPr>
          <w:trHeight w:val="284"/>
        </w:trPr>
        <w:tc>
          <w:tcPr>
            <w:tcW w:w="8147" w:type="dxa"/>
          </w:tcPr>
          <w:p w:rsidR="00BC5D16" w:rsidRPr="00E64111" w:rsidRDefault="006F2F86"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Returnable Bid Forms</w:t>
            </w:r>
          </w:p>
        </w:tc>
      </w:tr>
      <w:tr w:rsidR="00BC5D16" w:rsidRPr="00E64111" w:rsidTr="00BC5D16">
        <w:tc>
          <w:tcPr>
            <w:tcW w:w="8147" w:type="dxa"/>
          </w:tcPr>
          <w:p w:rsidR="00BC5D16" w:rsidRPr="00FE217E" w:rsidRDefault="00E5240F" w:rsidP="0087088F">
            <w:pPr>
              <w:pStyle w:val="Projectsubtitle"/>
              <w:rPr>
                <w:rFonts w:ascii="Arial" w:hAnsi="Arial" w:cs="Arial"/>
                <w:sz w:val="32"/>
                <w:szCs w:val="32"/>
                <w:lang w:val="en-GB"/>
              </w:rPr>
            </w:pPr>
            <w:r w:rsidRPr="00FE217E">
              <w:rPr>
                <w:rFonts w:ascii="Arial" w:hAnsi="Arial" w:cs="Arial"/>
                <w:sz w:val="32"/>
                <w:szCs w:val="32"/>
                <w:lang w:val="en-GB"/>
              </w:rPr>
              <w:t xml:space="preserve">RFQ Ref No:  </w:t>
            </w:r>
            <w:r w:rsidR="004E4DEF" w:rsidRPr="0026666D">
              <w:rPr>
                <w:rFonts w:ascii="Arial" w:hAnsi="Arial" w:cs="Arial"/>
                <w:sz w:val="32"/>
                <w:szCs w:val="32"/>
                <w:lang w:val="en-GB"/>
              </w:rPr>
              <w:t>UNOPS-EP-2016-S-04</w:t>
            </w:r>
            <w:r w:rsidR="0087088F">
              <w:rPr>
                <w:rFonts w:ascii="Arial" w:hAnsi="Arial" w:cs="Arial"/>
                <w:sz w:val="32"/>
                <w:szCs w:val="32"/>
                <w:lang w:val="en-GB"/>
              </w:rPr>
              <w:t>3</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E5240F" w:rsidP="003470DA">
            <w:pPr>
              <w:rPr>
                <w:rFonts w:ascii="Arial" w:hAnsi="Arial"/>
                <w:b/>
              </w:rPr>
            </w:pPr>
            <w:r w:rsidRPr="00BC3C5B">
              <w:rPr>
                <w:rFonts w:ascii="Arial" w:hAnsi="Arial"/>
                <w:b/>
              </w:rPr>
              <w:t>RSD</w:t>
            </w:r>
            <w:r w:rsidR="00A84049" w:rsidRPr="00BC3C5B">
              <w:rPr>
                <w:rFonts w:ascii="Arial" w:hAnsi="Arial"/>
                <w:b/>
              </w:rPr>
              <w:t xml:space="preserve"> (Republic of Serbia Dinars)</w:t>
            </w:r>
          </w:p>
        </w:tc>
      </w:tr>
    </w:tbl>
    <w:p w:rsidR="00DC0356" w:rsidRDefault="00DC0356" w:rsidP="003470DA">
      <w:pPr>
        <w:rPr>
          <w:b/>
        </w:rPr>
      </w:pPr>
    </w:p>
    <w:tbl>
      <w:tblPr>
        <w:tblW w:w="4671" w:type="pct"/>
        <w:tblLayout w:type="fixed"/>
        <w:tblLook w:val="04A0"/>
      </w:tblPr>
      <w:tblGrid>
        <w:gridCol w:w="1992"/>
        <w:gridCol w:w="1045"/>
        <w:gridCol w:w="1046"/>
        <w:gridCol w:w="1046"/>
        <w:gridCol w:w="1046"/>
        <w:gridCol w:w="1046"/>
        <w:gridCol w:w="1046"/>
        <w:gridCol w:w="1046"/>
      </w:tblGrid>
      <w:tr w:rsidR="009B487E" w:rsidRPr="004E26AF" w:rsidTr="009B487E">
        <w:trPr>
          <w:trHeight w:val="315"/>
        </w:trPr>
        <w:tc>
          <w:tcPr>
            <w:tcW w:w="1992" w:type="dxa"/>
            <w:tcBorders>
              <w:top w:val="single" w:sz="12" w:space="0" w:color="auto"/>
              <w:left w:val="single" w:sz="12" w:space="0" w:color="auto"/>
              <w:bottom w:val="single" w:sz="6" w:space="0" w:color="auto"/>
              <w:right w:val="single" w:sz="6" w:space="0" w:color="auto"/>
            </w:tcBorders>
            <w:shd w:val="clear" w:color="auto" w:fill="auto"/>
            <w:noWrap/>
            <w:vAlign w:val="bottom"/>
            <w:hideMark/>
          </w:tcPr>
          <w:p w:rsidR="009B487E" w:rsidRPr="004E26AF" w:rsidRDefault="009B487E" w:rsidP="002430CB">
            <w:pPr>
              <w:rPr>
                <w:b/>
                <w:bCs/>
                <w:color w:val="000000"/>
                <w:lang w:val="en-US" w:eastAsia="en-US"/>
              </w:rPr>
            </w:pPr>
            <w:r w:rsidRPr="004E26AF">
              <w:rPr>
                <w:b/>
                <w:bCs/>
                <w:color w:val="000000"/>
                <w:lang w:val="en-US" w:eastAsia="en-US"/>
              </w:rPr>
              <w:t>Regular maintenance, Mileage or time frame</w:t>
            </w:r>
            <w:r>
              <w:rPr>
                <w:b/>
                <w:bCs/>
                <w:color w:val="000000"/>
                <w:lang w:val="en-US" w:eastAsia="en-US"/>
              </w:rPr>
              <w:t xml:space="preserve"> as per the official service plan</w:t>
            </w:r>
          </w:p>
        </w:tc>
        <w:tc>
          <w:tcPr>
            <w:tcW w:w="7321" w:type="dxa"/>
            <w:gridSpan w:val="7"/>
            <w:tcBorders>
              <w:top w:val="single" w:sz="12" w:space="0" w:color="auto"/>
              <w:left w:val="single" w:sz="6" w:space="0" w:color="auto"/>
              <w:bottom w:val="single" w:sz="6" w:space="0" w:color="auto"/>
              <w:right w:val="single" w:sz="12" w:space="0" w:color="auto"/>
            </w:tcBorders>
            <w:shd w:val="clear" w:color="auto" w:fill="auto"/>
            <w:noWrap/>
            <w:vAlign w:val="center"/>
            <w:hideMark/>
          </w:tcPr>
          <w:p w:rsidR="00F66F8B" w:rsidRDefault="009B487E">
            <w:pPr>
              <w:jc w:val="center"/>
              <w:rPr>
                <w:color w:val="000000"/>
                <w:lang w:val="en-US" w:eastAsia="en-US"/>
              </w:rPr>
            </w:pPr>
            <w:r>
              <w:rPr>
                <w:color w:val="000000"/>
                <w:lang w:val="en-US" w:eastAsia="en-US"/>
              </w:rPr>
              <w:t>Prices in RSD per vehicle per service, NET amount</w:t>
            </w:r>
          </w:p>
        </w:tc>
      </w:tr>
      <w:tr w:rsidR="009B487E" w:rsidRPr="004E26AF" w:rsidTr="00F66F8B">
        <w:trPr>
          <w:trHeight w:val="300"/>
        </w:trPr>
        <w:tc>
          <w:tcPr>
            <w:tcW w:w="1992"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9B487E" w:rsidRPr="004E26AF" w:rsidRDefault="009B487E" w:rsidP="002430CB">
            <w:pPr>
              <w:rPr>
                <w:b/>
                <w:bCs/>
                <w:color w:val="000000"/>
                <w:lang w:val="en-US" w:eastAsia="en-US"/>
              </w:rPr>
            </w:pPr>
            <w:r w:rsidRPr="004E26AF">
              <w:rPr>
                <w:b/>
                <w:bCs/>
                <w:color w:val="000000"/>
                <w:lang w:val="en-US" w:eastAsia="en-US"/>
              </w:rPr>
              <w:t>Mileage x 1000 km</w:t>
            </w:r>
          </w:p>
        </w:tc>
        <w:tc>
          <w:tcPr>
            <w:tcW w:w="104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5</w:t>
            </w:r>
          </w:p>
        </w:tc>
        <w:tc>
          <w:tcPr>
            <w:tcW w:w="104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15</w:t>
            </w:r>
          </w:p>
        </w:tc>
        <w:tc>
          <w:tcPr>
            <w:tcW w:w="104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30</w:t>
            </w:r>
          </w:p>
        </w:tc>
        <w:tc>
          <w:tcPr>
            <w:tcW w:w="104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45</w:t>
            </w:r>
          </w:p>
        </w:tc>
        <w:tc>
          <w:tcPr>
            <w:tcW w:w="104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60</w:t>
            </w:r>
          </w:p>
        </w:tc>
        <w:tc>
          <w:tcPr>
            <w:tcW w:w="1046"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75</w:t>
            </w:r>
          </w:p>
        </w:tc>
        <w:tc>
          <w:tcPr>
            <w:tcW w:w="1046"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F66F8B" w:rsidRDefault="009B487E" w:rsidP="00F66F8B">
            <w:pPr>
              <w:jc w:val="right"/>
              <w:rPr>
                <w:b/>
                <w:bCs/>
                <w:color w:val="000000"/>
                <w:lang w:val="en-US" w:eastAsia="en-US"/>
              </w:rPr>
            </w:pPr>
            <w:r w:rsidRPr="004E26AF">
              <w:rPr>
                <w:b/>
                <w:bCs/>
                <w:color w:val="000000"/>
                <w:lang w:val="en-US" w:eastAsia="en-US"/>
              </w:rPr>
              <w:t>90</w:t>
            </w:r>
          </w:p>
        </w:tc>
      </w:tr>
      <w:tr w:rsidR="009B487E" w:rsidRPr="004E26AF" w:rsidTr="00F66F8B">
        <w:trPr>
          <w:trHeight w:val="315"/>
        </w:trPr>
        <w:tc>
          <w:tcPr>
            <w:tcW w:w="1992" w:type="dxa"/>
            <w:tcBorders>
              <w:top w:val="single" w:sz="6" w:space="0" w:color="auto"/>
              <w:left w:val="single" w:sz="12" w:space="0" w:color="auto"/>
              <w:bottom w:val="single" w:sz="12" w:space="0" w:color="auto"/>
              <w:right w:val="single" w:sz="6" w:space="0" w:color="auto"/>
            </w:tcBorders>
            <w:shd w:val="clear" w:color="auto" w:fill="auto"/>
            <w:noWrap/>
            <w:vAlign w:val="bottom"/>
            <w:hideMark/>
          </w:tcPr>
          <w:p w:rsidR="009B487E" w:rsidRPr="004E26AF" w:rsidRDefault="009B487E" w:rsidP="002430CB">
            <w:pPr>
              <w:rPr>
                <w:b/>
                <w:bCs/>
                <w:color w:val="000000"/>
                <w:lang w:val="en-US" w:eastAsia="en-US"/>
              </w:rPr>
            </w:pPr>
            <w:r w:rsidRPr="004E26AF">
              <w:rPr>
                <w:b/>
                <w:bCs/>
                <w:color w:val="000000"/>
                <w:lang w:val="en-US" w:eastAsia="en-US"/>
              </w:rPr>
              <w:t>Timeframe (months)</w:t>
            </w:r>
          </w:p>
        </w:tc>
        <w:tc>
          <w:tcPr>
            <w:tcW w:w="1045"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6</w:t>
            </w: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12</w:t>
            </w: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24</w:t>
            </w: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36</w:t>
            </w: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48</w:t>
            </w: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60</w:t>
            </w:r>
          </w:p>
        </w:tc>
        <w:tc>
          <w:tcPr>
            <w:tcW w:w="1046" w:type="dxa"/>
            <w:tcBorders>
              <w:top w:val="single" w:sz="6" w:space="0" w:color="auto"/>
              <w:left w:val="single" w:sz="6" w:space="0" w:color="auto"/>
              <w:bottom w:val="single" w:sz="12" w:space="0" w:color="auto"/>
              <w:right w:val="single" w:sz="12" w:space="0" w:color="auto"/>
            </w:tcBorders>
            <w:shd w:val="clear" w:color="auto" w:fill="auto"/>
            <w:noWrap/>
            <w:vAlign w:val="bottom"/>
            <w:hideMark/>
          </w:tcPr>
          <w:p w:rsidR="009B487E" w:rsidRPr="004E26AF" w:rsidRDefault="009B487E" w:rsidP="00F66F8B">
            <w:pPr>
              <w:jc w:val="right"/>
              <w:rPr>
                <w:b/>
                <w:bCs/>
                <w:color w:val="000000"/>
                <w:lang w:val="en-US" w:eastAsia="en-US"/>
              </w:rPr>
            </w:pPr>
            <w:r w:rsidRPr="004E26AF">
              <w:rPr>
                <w:b/>
                <w:bCs/>
                <w:color w:val="000000"/>
                <w:lang w:val="en-US" w:eastAsia="en-US"/>
              </w:rPr>
              <w:t>72</w:t>
            </w:r>
          </w:p>
        </w:tc>
      </w:tr>
      <w:tr w:rsidR="009B487E" w:rsidRPr="004E26AF" w:rsidTr="00F66F8B">
        <w:trPr>
          <w:trHeight w:val="300"/>
        </w:trPr>
        <w:tc>
          <w:tcPr>
            <w:tcW w:w="199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Oil for motor</w:t>
            </w:r>
          </w:p>
        </w:tc>
        <w:tc>
          <w:tcPr>
            <w:tcW w:w="1045"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12"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12"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12"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12"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12"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12"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Filter for motor oil</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Coolant</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Fuel filter</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Air filter</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Pollen filter</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Brake/clutch fluid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Oil for manual transmission</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Power steering pump fluid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Differential fluid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00"/>
        </w:trPr>
        <w:tc>
          <w:tcPr>
            <w:tcW w:w="199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9B487E" w:rsidRPr="004E26AF" w:rsidRDefault="009B487E" w:rsidP="007A29F7">
            <w:pPr>
              <w:rPr>
                <w:color w:val="000000"/>
                <w:lang w:val="en-US" w:eastAsia="en-US"/>
              </w:rPr>
            </w:pPr>
            <w:r w:rsidRPr="004E26AF">
              <w:rPr>
                <w:color w:val="000000"/>
                <w:lang w:val="en-US" w:eastAsia="en-US"/>
              </w:rPr>
              <w:t>Transfer case fluid</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4"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F66F8B">
        <w:trPr>
          <w:trHeight w:val="315"/>
        </w:trPr>
        <w:tc>
          <w:tcPr>
            <w:tcW w:w="1992"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rsidR="009B487E" w:rsidRPr="004E26AF" w:rsidRDefault="009B487E" w:rsidP="008F0E8E">
            <w:pPr>
              <w:rPr>
                <w:color w:val="000000"/>
                <w:lang w:val="en-US" w:eastAsia="en-US"/>
              </w:rPr>
            </w:pPr>
            <w:r w:rsidRPr="006A5589">
              <w:rPr>
                <w:color w:val="000000"/>
                <w:lang w:val="en-US" w:eastAsia="en-US"/>
              </w:rPr>
              <w:t xml:space="preserve">Labor (maintenance as required in the service booklet for standard and regular services). </w:t>
            </w:r>
          </w:p>
        </w:tc>
        <w:tc>
          <w:tcPr>
            <w:tcW w:w="1045"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12"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12"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12"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12"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12" w:space="0" w:color="auto"/>
              <w:right w:val="single" w:sz="4"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c>
          <w:tcPr>
            <w:tcW w:w="1046" w:type="dxa"/>
            <w:tcBorders>
              <w:top w:val="single" w:sz="4" w:space="0" w:color="auto"/>
              <w:left w:val="nil"/>
              <w:bottom w:val="single" w:sz="12"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r w:rsidRPr="004E26AF">
              <w:rPr>
                <w:color w:val="000000"/>
                <w:lang w:val="en-US" w:eastAsia="en-US"/>
              </w:rPr>
              <w:t> </w:t>
            </w:r>
          </w:p>
        </w:tc>
      </w:tr>
      <w:tr w:rsidR="009B487E" w:rsidRPr="004E26AF" w:rsidTr="009B487E">
        <w:trPr>
          <w:trHeight w:val="315"/>
        </w:trPr>
        <w:tc>
          <w:tcPr>
            <w:tcW w:w="1992" w:type="dxa"/>
            <w:tcBorders>
              <w:top w:val="single" w:sz="12" w:space="0" w:color="auto"/>
              <w:left w:val="single" w:sz="12" w:space="0" w:color="auto"/>
              <w:bottom w:val="single" w:sz="6" w:space="0" w:color="auto"/>
              <w:right w:val="single" w:sz="6" w:space="0" w:color="auto"/>
            </w:tcBorders>
            <w:shd w:val="clear" w:color="auto" w:fill="auto"/>
            <w:noWrap/>
            <w:vAlign w:val="bottom"/>
            <w:hideMark/>
          </w:tcPr>
          <w:p w:rsidR="009B487E" w:rsidRPr="006A5589" w:rsidRDefault="009B487E" w:rsidP="006A5589">
            <w:pPr>
              <w:rPr>
                <w:color w:val="000000"/>
                <w:lang w:val="en-US" w:eastAsia="en-US"/>
              </w:rPr>
            </w:pPr>
            <w:r>
              <w:rPr>
                <w:color w:val="000000"/>
                <w:lang w:val="en-US" w:eastAsia="en-US"/>
              </w:rPr>
              <w:t>Total cost per one vehicle per service</w:t>
            </w:r>
          </w:p>
        </w:tc>
        <w:tc>
          <w:tcPr>
            <w:tcW w:w="1045"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2430CB">
            <w:pPr>
              <w:rPr>
                <w:color w:val="000000"/>
                <w:lang w:val="en-US" w:eastAsia="en-US"/>
              </w:rPr>
            </w:pPr>
          </w:p>
        </w:tc>
        <w:tc>
          <w:tcPr>
            <w:tcW w:w="1046"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2430CB">
            <w:pPr>
              <w:rPr>
                <w:color w:val="000000"/>
                <w:lang w:val="en-US" w:eastAsia="en-US"/>
              </w:rPr>
            </w:pPr>
          </w:p>
        </w:tc>
        <w:tc>
          <w:tcPr>
            <w:tcW w:w="1046"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2430CB">
            <w:pPr>
              <w:rPr>
                <w:color w:val="000000"/>
                <w:lang w:val="en-US" w:eastAsia="en-US"/>
              </w:rPr>
            </w:pPr>
          </w:p>
        </w:tc>
        <w:tc>
          <w:tcPr>
            <w:tcW w:w="1046"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2430CB">
            <w:pPr>
              <w:rPr>
                <w:color w:val="000000"/>
                <w:lang w:val="en-US" w:eastAsia="en-US"/>
              </w:rPr>
            </w:pPr>
          </w:p>
        </w:tc>
        <w:tc>
          <w:tcPr>
            <w:tcW w:w="1046"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2430CB">
            <w:pPr>
              <w:rPr>
                <w:color w:val="000000"/>
                <w:lang w:val="en-US" w:eastAsia="en-US"/>
              </w:rPr>
            </w:pPr>
          </w:p>
        </w:tc>
        <w:tc>
          <w:tcPr>
            <w:tcW w:w="1046" w:type="dxa"/>
            <w:tcBorders>
              <w:top w:val="single" w:sz="12" w:space="0" w:color="auto"/>
              <w:left w:val="single" w:sz="6" w:space="0" w:color="auto"/>
              <w:bottom w:val="single" w:sz="6" w:space="0" w:color="auto"/>
              <w:right w:val="single" w:sz="6" w:space="0" w:color="auto"/>
            </w:tcBorders>
            <w:shd w:val="clear" w:color="auto" w:fill="auto"/>
            <w:noWrap/>
            <w:vAlign w:val="bottom"/>
            <w:hideMark/>
          </w:tcPr>
          <w:p w:rsidR="009B487E" w:rsidRPr="004E26AF" w:rsidRDefault="009B487E" w:rsidP="002430CB">
            <w:pPr>
              <w:rPr>
                <w:color w:val="000000"/>
                <w:lang w:val="en-US" w:eastAsia="en-US"/>
              </w:rPr>
            </w:pPr>
          </w:p>
        </w:tc>
        <w:tc>
          <w:tcPr>
            <w:tcW w:w="1046" w:type="dxa"/>
            <w:tcBorders>
              <w:top w:val="single" w:sz="12" w:space="0" w:color="auto"/>
              <w:left w:val="single" w:sz="6" w:space="0" w:color="auto"/>
              <w:bottom w:val="single" w:sz="6" w:space="0" w:color="auto"/>
              <w:right w:val="single" w:sz="12" w:space="0" w:color="auto"/>
            </w:tcBorders>
            <w:shd w:val="clear" w:color="auto" w:fill="auto"/>
            <w:noWrap/>
            <w:vAlign w:val="bottom"/>
            <w:hideMark/>
          </w:tcPr>
          <w:p w:rsidR="009B487E" w:rsidRPr="004E26AF" w:rsidRDefault="009B487E" w:rsidP="002430CB">
            <w:pPr>
              <w:rPr>
                <w:color w:val="000000"/>
                <w:lang w:val="en-US" w:eastAsia="en-US"/>
              </w:rPr>
            </w:pPr>
          </w:p>
        </w:tc>
      </w:tr>
      <w:tr w:rsidR="009B487E" w:rsidRPr="004E26AF" w:rsidTr="0040517A">
        <w:trPr>
          <w:trHeight w:val="315"/>
        </w:trPr>
        <w:tc>
          <w:tcPr>
            <w:tcW w:w="1992" w:type="dxa"/>
            <w:tcBorders>
              <w:top w:val="single" w:sz="6" w:space="0" w:color="auto"/>
              <w:left w:val="single" w:sz="12" w:space="0" w:color="auto"/>
              <w:bottom w:val="single" w:sz="12" w:space="0" w:color="auto"/>
              <w:right w:val="single" w:sz="6" w:space="0" w:color="auto"/>
            </w:tcBorders>
            <w:shd w:val="clear" w:color="auto" w:fill="auto"/>
            <w:noWrap/>
            <w:vAlign w:val="bottom"/>
          </w:tcPr>
          <w:p w:rsidR="009B487E" w:rsidRDefault="009B487E" w:rsidP="006A5589">
            <w:pPr>
              <w:rPr>
                <w:color w:val="000000"/>
                <w:lang w:val="en-US" w:eastAsia="en-US"/>
              </w:rPr>
            </w:pPr>
            <w:r>
              <w:rPr>
                <w:color w:val="000000"/>
                <w:lang w:val="en-US" w:eastAsia="en-US"/>
              </w:rPr>
              <w:t>Total cost for 6 vehicles</w:t>
            </w:r>
          </w:p>
        </w:tc>
        <w:tc>
          <w:tcPr>
            <w:tcW w:w="1045" w:type="dxa"/>
            <w:tcBorders>
              <w:top w:val="single" w:sz="6" w:space="0" w:color="auto"/>
              <w:left w:val="single" w:sz="6" w:space="0" w:color="auto"/>
              <w:bottom w:val="single" w:sz="12" w:space="0" w:color="auto"/>
              <w:right w:val="single" w:sz="6" w:space="0" w:color="auto"/>
            </w:tcBorders>
            <w:shd w:val="clear" w:color="auto" w:fill="auto"/>
            <w:noWrap/>
            <w:vAlign w:val="bottom"/>
          </w:tcPr>
          <w:p w:rsidR="009B487E" w:rsidRPr="004E26AF" w:rsidRDefault="009B487E" w:rsidP="002430CB">
            <w:pPr>
              <w:rPr>
                <w:color w:val="000000"/>
                <w:lang w:val="en-US" w:eastAsia="en-US"/>
              </w:rPr>
            </w:pP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tcPr>
          <w:p w:rsidR="009B487E" w:rsidRPr="004E26AF" w:rsidRDefault="009B487E" w:rsidP="002430CB">
            <w:pPr>
              <w:rPr>
                <w:color w:val="000000"/>
                <w:lang w:val="en-US" w:eastAsia="en-US"/>
              </w:rPr>
            </w:pP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tcPr>
          <w:p w:rsidR="009B487E" w:rsidRPr="004E26AF" w:rsidRDefault="009B487E" w:rsidP="002430CB">
            <w:pPr>
              <w:rPr>
                <w:color w:val="000000"/>
                <w:lang w:val="en-US" w:eastAsia="en-US"/>
              </w:rPr>
            </w:pP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tcPr>
          <w:p w:rsidR="009B487E" w:rsidRPr="004E26AF" w:rsidRDefault="009B487E" w:rsidP="002430CB">
            <w:pPr>
              <w:rPr>
                <w:color w:val="000000"/>
                <w:lang w:val="en-US" w:eastAsia="en-US"/>
              </w:rPr>
            </w:pP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tcPr>
          <w:p w:rsidR="009B487E" w:rsidRPr="004E26AF" w:rsidRDefault="009B487E" w:rsidP="002430CB">
            <w:pPr>
              <w:rPr>
                <w:color w:val="000000"/>
                <w:lang w:val="en-US" w:eastAsia="en-US"/>
              </w:rPr>
            </w:pPr>
          </w:p>
        </w:tc>
        <w:tc>
          <w:tcPr>
            <w:tcW w:w="1046" w:type="dxa"/>
            <w:tcBorders>
              <w:top w:val="single" w:sz="6" w:space="0" w:color="auto"/>
              <w:left w:val="single" w:sz="6" w:space="0" w:color="auto"/>
              <w:bottom w:val="single" w:sz="12" w:space="0" w:color="auto"/>
              <w:right w:val="single" w:sz="6" w:space="0" w:color="auto"/>
            </w:tcBorders>
            <w:shd w:val="clear" w:color="auto" w:fill="auto"/>
            <w:noWrap/>
            <w:vAlign w:val="bottom"/>
          </w:tcPr>
          <w:p w:rsidR="009B487E" w:rsidRPr="004E26AF" w:rsidRDefault="009B487E" w:rsidP="002430CB">
            <w:pPr>
              <w:rPr>
                <w:color w:val="000000"/>
                <w:lang w:val="en-US" w:eastAsia="en-US"/>
              </w:rPr>
            </w:pPr>
          </w:p>
        </w:tc>
        <w:tc>
          <w:tcPr>
            <w:tcW w:w="1046" w:type="dxa"/>
            <w:tcBorders>
              <w:top w:val="single" w:sz="6" w:space="0" w:color="auto"/>
              <w:left w:val="single" w:sz="6" w:space="0" w:color="auto"/>
              <w:bottom w:val="single" w:sz="12" w:space="0" w:color="auto"/>
              <w:right w:val="single" w:sz="12" w:space="0" w:color="auto"/>
            </w:tcBorders>
            <w:shd w:val="clear" w:color="auto" w:fill="auto"/>
            <w:noWrap/>
            <w:vAlign w:val="bottom"/>
          </w:tcPr>
          <w:p w:rsidR="009B487E" w:rsidRPr="004E26AF" w:rsidRDefault="009B487E" w:rsidP="002430CB">
            <w:pPr>
              <w:rPr>
                <w:color w:val="000000"/>
                <w:lang w:val="en-US" w:eastAsia="en-US"/>
              </w:rPr>
            </w:pPr>
          </w:p>
        </w:tc>
      </w:tr>
      <w:tr w:rsidR="009B487E" w:rsidRPr="004E26AF" w:rsidTr="0040517A">
        <w:trPr>
          <w:trHeight w:val="315"/>
        </w:trPr>
        <w:tc>
          <w:tcPr>
            <w:tcW w:w="7221"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tcPr>
          <w:p w:rsidR="00F66F8B" w:rsidRDefault="00BC123C">
            <w:pPr>
              <w:jc w:val="right"/>
              <w:rPr>
                <w:b/>
                <w:color w:val="000000"/>
                <w:lang w:val="en-US" w:eastAsia="en-US"/>
              </w:rPr>
            </w:pPr>
            <w:r w:rsidRPr="00BC123C">
              <w:rPr>
                <w:b/>
                <w:color w:val="000000"/>
                <w:lang w:val="en-US" w:eastAsia="en-US"/>
              </w:rPr>
              <w:t xml:space="preserve">Total cost </w:t>
            </w:r>
          </w:p>
        </w:tc>
        <w:tc>
          <w:tcPr>
            <w:tcW w:w="2092"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tcPr>
          <w:p w:rsidR="009B487E" w:rsidRPr="009B487E" w:rsidRDefault="009B487E" w:rsidP="002430CB">
            <w:pPr>
              <w:rPr>
                <w:b/>
                <w:color w:val="000000"/>
                <w:lang w:val="en-US" w:eastAsia="en-US"/>
              </w:rPr>
            </w:pPr>
          </w:p>
        </w:tc>
      </w:tr>
    </w:tbl>
    <w:p w:rsidR="00DC0356" w:rsidRPr="0029498A" w:rsidRDefault="00DC0356" w:rsidP="003470DA">
      <w:pPr>
        <w:rPr>
          <w: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CE7A4D"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Partial quotations shall not be allowed. Bidders must quote prices for the total services for the total requirement requested under Section III: Schedule of Requirements. Evaluation will be done for the total requirement.</w:t>
      </w:r>
    </w:p>
    <w:p w:rsidR="00981334" w:rsidRDefault="00981120" w:rsidP="00A53CCD">
      <w:pPr>
        <w:pStyle w:val="ListParagraph"/>
        <w:numPr>
          <w:ilvl w:val="3"/>
          <w:numId w:val="26"/>
        </w:numPr>
        <w:ind w:left="709" w:hanging="425"/>
        <w:rPr>
          <w:rFonts w:ascii="Arial" w:eastAsia="Times New Roman" w:hAnsi="Arial"/>
          <w:sz w:val="20"/>
          <w:szCs w:val="20"/>
        </w:rPr>
      </w:pPr>
      <w:r w:rsidRPr="00981120">
        <w:rPr>
          <w:rFonts w:ascii="Arial" w:eastAsia="Times New Roman" w:hAnsi="Arial"/>
          <w:sz w:val="20"/>
          <w:szCs w:val="20"/>
        </w:rPr>
        <w:lastRenderedPageBreak/>
        <w:t>At the time the Contract is awarded, UNOPS reserves the right to vary the quantity of the associated services specified above, as per the official service plan for project vehicles and actual mileage travelled by each of the project vehicles.</w:t>
      </w:r>
    </w:p>
    <w:p w:rsidR="007F4EBB" w:rsidRDefault="007F4EBB" w:rsidP="00A53CCD">
      <w:pPr>
        <w:pStyle w:val="ListParagraph"/>
        <w:numPr>
          <w:ilvl w:val="3"/>
          <w:numId w:val="26"/>
        </w:numPr>
        <w:ind w:left="709" w:hanging="425"/>
        <w:rPr>
          <w:rFonts w:ascii="Arial" w:eastAsia="Times New Roman" w:hAnsi="Arial"/>
          <w:sz w:val="20"/>
          <w:szCs w:val="20"/>
        </w:rPr>
      </w:pPr>
      <w:r w:rsidRPr="007F4EBB">
        <w:rPr>
          <w:rFonts w:ascii="Arial" w:eastAsia="Times New Roman" w:hAnsi="Arial"/>
          <w:sz w:val="20"/>
          <w:szCs w:val="20"/>
        </w:rPr>
        <w:t>The mileage for trip to service will be taken in the financial evaluation of offers</w:t>
      </w:r>
    </w:p>
    <w:p w:rsidR="00CE7A4D" w:rsidRDefault="00CE7A4D" w:rsidP="00563018">
      <w:pPr>
        <w:pStyle w:val="BankNormal"/>
        <w:spacing w:after="0"/>
        <w:rPr>
          <w:rFonts w:ascii="Arial" w:hAnsi="Arial" w:cs="Arial"/>
          <w:sz w:val="20"/>
          <w:lang w:val="en-GB"/>
        </w:rPr>
      </w:pPr>
    </w:p>
    <w:p w:rsidR="00981120" w:rsidRPr="00981120" w:rsidRDefault="00E5240F" w:rsidP="00A53CCD">
      <w:pPr>
        <w:pStyle w:val="MarginText"/>
        <w:numPr>
          <w:ilvl w:val="0"/>
          <w:numId w:val="21"/>
        </w:numPr>
        <w:spacing w:before="120" w:after="0" w:line="240" w:lineRule="auto"/>
        <w:rPr>
          <w:rFonts w:ascii="Arial" w:eastAsia="Calibri" w:hAnsi="Arial" w:cs="Arial"/>
          <w:b/>
          <w:color w:val="000000"/>
          <w:sz w:val="20"/>
        </w:rPr>
      </w:pPr>
      <w:r w:rsidRPr="00E5240F">
        <w:rPr>
          <w:rFonts w:ascii="Arial" w:hAnsi="Arial" w:cs="Arial"/>
          <w:sz w:val="20"/>
        </w:rPr>
        <w:t>Payment terms 30 days accepted:</w:t>
      </w:r>
      <w:r w:rsidRPr="00E5240F">
        <w:rPr>
          <w:rFonts w:ascii="Arial" w:hAnsi="Arial" w:cs="Arial"/>
        </w:rPr>
        <w:t xml:space="preserve"> </w:t>
      </w:r>
      <w:sdt>
        <w:sdtPr>
          <w:rPr>
            <w:color w:val="000000" w:themeColor="text1"/>
            <w:highlight w:val="cyan"/>
          </w:rPr>
          <w:id w:val="-1118988234"/>
        </w:sdtPr>
        <w:sdtContent>
          <w:r w:rsidRPr="00E5240F">
            <w:rPr>
              <w:rFonts w:ascii="Segoe UI Symbol" w:eastAsia="MS Gothic" w:hAnsi="Segoe UI Symbol" w:cs="Segoe UI Symbol"/>
              <w:color w:val="000000" w:themeColor="text1"/>
              <w:sz w:val="20"/>
              <w:highlight w:val="cyan"/>
            </w:rPr>
            <w:t>☐</w:t>
          </w:r>
        </w:sdtContent>
      </w:sdt>
      <w:r w:rsidRPr="00E5240F">
        <w:rPr>
          <w:rFonts w:ascii="Arial" w:hAnsi="Arial" w:cs="Arial"/>
          <w:color w:val="000000" w:themeColor="text1"/>
          <w:sz w:val="20"/>
        </w:rPr>
        <w:t xml:space="preserve"> Yes</w:t>
      </w:r>
    </w:p>
    <w:p w:rsidR="00981120" w:rsidRPr="00981120" w:rsidRDefault="00981120" w:rsidP="00981120">
      <w:pPr>
        <w:pStyle w:val="MarginText"/>
        <w:spacing w:before="120" w:after="0" w:line="240" w:lineRule="auto"/>
        <w:rPr>
          <w:rFonts w:ascii="Arial" w:eastAsia="Calibri" w:hAnsi="Arial" w:cs="Arial"/>
          <w:b/>
          <w:color w:val="000000"/>
          <w:sz w:val="2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r w:rsidR="00F66F8B">
        <w:t>entities;</w:t>
      </w:r>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CE7A4D" w:rsidRDefault="00CE7A4D"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0B2EAB" w:rsidRDefault="000B2EAB"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June 2016 and it will end in </w:t>
            </w:r>
            <w:r w:rsidR="00981120">
              <w:rPr>
                <w:rFonts w:ascii="Arial" w:hAnsi="Arial"/>
                <w:lang w:eastAsia="en-US"/>
              </w:rPr>
              <w:t>September</w:t>
            </w:r>
            <w:r w:rsidR="007F4EBB">
              <w:rPr>
                <w:rFonts w:ascii="Arial" w:hAnsi="Arial"/>
                <w:lang w:eastAsia="en-US"/>
              </w:rPr>
              <w:t xml:space="preserve"> </w:t>
            </w:r>
            <w:r w:rsidRPr="00981334">
              <w:rPr>
                <w:rFonts w:ascii="Arial" w:hAnsi="Arial"/>
                <w:lang w:eastAsia="en-US"/>
              </w:rPr>
              <w:t xml:space="preserve">2017. </w:t>
            </w:r>
          </w:p>
          <w:p w:rsidR="00FA0635" w:rsidRPr="00981334" w:rsidRDefault="00981334" w:rsidP="007F4EBB">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 xml:space="preserve">he exact date and time for the organisation of </w:t>
            </w:r>
            <w:r w:rsidR="007F4EBB">
              <w:rPr>
                <w:rFonts w:ascii="Arial" w:hAnsi="Arial"/>
                <w:lang w:eastAsia="en-US"/>
              </w:rPr>
              <w:t>services</w:t>
            </w:r>
            <w:r w:rsidRPr="00981334">
              <w:rPr>
                <w:rFonts w:ascii="Arial" w:hAnsi="Arial"/>
                <w:lang w:eastAsia="en-US"/>
              </w:rPr>
              <w:t xml:space="preserve">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DC75E2"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DC75E2"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DC75E2"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40517A">
            <w:pPr>
              <w:rPr>
                <w:rFonts w:ascii="Arial" w:hAnsi="Arial"/>
                <w:lang w:eastAsia="en-US"/>
              </w:rPr>
            </w:pPr>
            <w:r w:rsidRPr="00FA0635">
              <w:rPr>
                <w:rFonts w:ascii="Arial" w:hAnsi="Arial"/>
                <w:lang w:eastAsia="en-US"/>
              </w:rPr>
              <w:t xml:space="preserve">At the time the Contract is awarded, UNOPS reserves the right to vary the quantity of the associated services specified above, </w:t>
            </w:r>
            <w:r w:rsidR="0040517A">
              <w:rPr>
                <w:rFonts w:ascii="Arial" w:hAnsi="Arial"/>
                <w:lang w:eastAsia="en-US"/>
              </w:rPr>
              <w:t>as per the official service plan for project vehicles and actual mileage travelled by each of the project vehicles</w:t>
            </w:r>
            <w:r w:rsidRPr="00FA0635">
              <w:rPr>
                <w:rFonts w:ascii="Arial" w:hAnsi="Arial"/>
                <w:lang w:eastAsia="en-US"/>
              </w:rPr>
              <w:t>.</w:t>
            </w:r>
          </w:p>
        </w:tc>
        <w:tc>
          <w:tcPr>
            <w:tcW w:w="2126" w:type="dxa"/>
            <w:vAlign w:val="center"/>
          </w:tcPr>
          <w:p w:rsidR="005210E7" w:rsidRPr="00FA0635" w:rsidRDefault="00DC75E2"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4E26A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2707FC" w15:done="0"/>
  <w15:commentEx w15:paraId="576A290F" w15:done="0"/>
  <w15:commentEx w15:paraId="1EB60E7A" w15:done="0"/>
  <w15:commentEx w15:paraId="4956129F" w15:done="0"/>
  <w15:commentEx w15:paraId="06152F5D" w15:done="0"/>
  <w15:commentEx w15:paraId="75C6AED7" w15:done="0"/>
  <w15:commentEx w15:paraId="622E66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16E" w:rsidRDefault="00A7116E">
      <w:r>
        <w:separator/>
      </w:r>
    </w:p>
  </w:endnote>
  <w:endnote w:type="continuationSeparator" w:id="0">
    <w:p w:rsidR="00A7116E" w:rsidRDefault="00A7116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F66F8B" w:rsidRPr="00933BF0" w:rsidTr="0059057B">
      <w:tc>
        <w:tcPr>
          <w:tcW w:w="4596" w:type="dxa"/>
        </w:tcPr>
        <w:p w:rsidR="00F66F8B" w:rsidRPr="00933BF0" w:rsidRDefault="00F66F8B"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F66F8B" w:rsidRPr="00933BF0" w:rsidRDefault="00DC75E2" w:rsidP="0059057B">
          <w:pPr>
            <w:pStyle w:val="Footer"/>
            <w:jc w:val="right"/>
            <w:rPr>
              <w:rFonts w:ascii="Arial" w:hAnsi="Arial"/>
              <w:sz w:val="18"/>
              <w:szCs w:val="18"/>
            </w:rPr>
          </w:pPr>
          <w:r w:rsidRPr="00933BF0">
            <w:rPr>
              <w:sz w:val="18"/>
              <w:szCs w:val="18"/>
            </w:rPr>
            <w:fldChar w:fldCharType="begin"/>
          </w:r>
          <w:r w:rsidR="00F66F8B" w:rsidRPr="00933BF0">
            <w:rPr>
              <w:rFonts w:ascii="Arial" w:hAnsi="Arial"/>
              <w:sz w:val="18"/>
              <w:szCs w:val="18"/>
            </w:rPr>
            <w:instrText xml:space="preserve"> PAGE   \* MERGEFORMAT </w:instrText>
          </w:r>
          <w:r w:rsidRPr="00933BF0">
            <w:rPr>
              <w:sz w:val="18"/>
              <w:szCs w:val="18"/>
            </w:rPr>
            <w:fldChar w:fldCharType="separate"/>
          </w:r>
          <w:r w:rsidR="006F2F86">
            <w:rPr>
              <w:rFonts w:ascii="Arial" w:hAnsi="Arial"/>
              <w:noProof/>
              <w:sz w:val="18"/>
              <w:szCs w:val="18"/>
            </w:rPr>
            <w:t>2</w:t>
          </w:r>
          <w:r w:rsidRPr="00933BF0">
            <w:rPr>
              <w:sz w:val="18"/>
              <w:szCs w:val="18"/>
            </w:rPr>
            <w:fldChar w:fldCharType="end"/>
          </w:r>
        </w:p>
      </w:tc>
    </w:tr>
  </w:tbl>
  <w:p w:rsidR="00F66F8B" w:rsidRDefault="00F66F8B"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16E" w:rsidRDefault="00A7116E">
      <w:r>
        <w:separator/>
      </w:r>
    </w:p>
  </w:footnote>
  <w:footnote w:type="continuationSeparator" w:id="0">
    <w:p w:rsidR="00A7116E" w:rsidRDefault="00A71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F66F8B" w:rsidRPr="00B22AB4" w:rsidTr="0059057B">
      <w:tc>
        <w:tcPr>
          <w:tcW w:w="9889" w:type="dxa"/>
        </w:tcPr>
        <w:p w:rsidR="00F66F8B" w:rsidRPr="00933BF0" w:rsidRDefault="00F66F8B" w:rsidP="0087088F">
          <w:pPr>
            <w:pStyle w:val="Footer"/>
            <w:jc w:val="right"/>
            <w:rPr>
              <w:rFonts w:ascii="Arial" w:hAnsi="Arial"/>
              <w:sz w:val="18"/>
              <w:szCs w:val="18"/>
            </w:rPr>
          </w:pPr>
          <w:r>
            <w:rPr>
              <w:rFonts w:ascii="Arial" w:hAnsi="Arial"/>
              <w:sz w:val="18"/>
              <w:szCs w:val="18"/>
            </w:rPr>
            <w:t>RFQ Ref No: UNOPS-EP-2016-S-043</w:t>
          </w:r>
        </w:p>
      </w:tc>
    </w:tr>
  </w:tbl>
  <w:p w:rsidR="00F66F8B" w:rsidRDefault="00F66F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F8B" w:rsidRDefault="00F66F8B">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0E5DB7"/>
    <w:multiLevelType w:val="hybridMultilevel"/>
    <w:tmpl w:val="B5E0C7B4"/>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2">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6">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0"/>
  </w:num>
  <w:num w:numId="3">
    <w:abstractNumId w:val="1"/>
  </w:num>
  <w:num w:numId="4">
    <w:abstractNumId w:val="9"/>
  </w:num>
  <w:num w:numId="5">
    <w:abstractNumId w:val="5"/>
  </w:num>
  <w:num w:numId="6">
    <w:abstractNumId w:val="3"/>
  </w:num>
  <w:num w:numId="7">
    <w:abstractNumId w:val="4"/>
  </w:num>
  <w:num w:numId="8">
    <w:abstractNumId w:val="13"/>
  </w:num>
  <w:num w:numId="9">
    <w:abstractNumId w:val="25"/>
  </w:num>
  <w:num w:numId="10">
    <w:abstractNumId w:val="16"/>
  </w:num>
  <w:num w:numId="11">
    <w:abstractNumId w:val="6"/>
  </w:num>
  <w:num w:numId="12">
    <w:abstractNumId w:val="22"/>
  </w:num>
  <w:num w:numId="13">
    <w:abstractNumId w:val="2"/>
  </w:num>
  <w:num w:numId="14">
    <w:abstractNumId w:val="32"/>
  </w:num>
  <w:num w:numId="15">
    <w:abstractNumId w:val="8"/>
  </w:num>
  <w:num w:numId="16">
    <w:abstractNumId w:val="14"/>
  </w:num>
  <w:num w:numId="17">
    <w:abstractNumId w:val="28"/>
  </w:num>
  <w:num w:numId="18">
    <w:abstractNumId w:val="19"/>
  </w:num>
  <w:num w:numId="19">
    <w:abstractNumId w:val="7"/>
  </w:num>
  <w:num w:numId="20">
    <w:abstractNumId w:val="10"/>
  </w:num>
  <w:num w:numId="21">
    <w:abstractNumId w:val="24"/>
  </w:num>
  <w:num w:numId="22">
    <w:abstractNumId w:val="18"/>
  </w:num>
  <w:num w:numId="23">
    <w:abstractNumId w:val="20"/>
  </w:num>
  <w:num w:numId="24">
    <w:abstractNumId w:val="17"/>
  </w:num>
  <w:num w:numId="25">
    <w:abstractNumId w:val="23"/>
  </w:num>
  <w:num w:numId="26">
    <w:abstractNumId w:val="15"/>
  </w:num>
  <w:num w:numId="27">
    <w:abstractNumId w:val="21"/>
  </w:num>
  <w:num w:numId="28">
    <w:abstractNumId w:val="11"/>
  </w:num>
  <w:num w:numId="29">
    <w:abstractNumId w:val="30"/>
  </w:num>
  <w:num w:numId="30">
    <w:abstractNumId w:val="12"/>
  </w:num>
  <w:num w:numId="31">
    <w:abstractNumId w:val="27"/>
  </w:num>
  <w:num w:numId="32">
    <w:abstractNumId w:val="29"/>
  </w:num>
  <w:num w:numId="33">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2793B"/>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5E82"/>
    <w:rsid w:val="000C6321"/>
    <w:rsid w:val="000D07FB"/>
    <w:rsid w:val="000D1209"/>
    <w:rsid w:val="000D2201"/>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1F42"/>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30CB"/>
    <w:rsid w:val="00244289"/>
    <w:rsid w:val="00247B55"/>
    <w:rsid w:val="00251914"/>
    <w:rsid w:val="00253436"/>
    <w:rsid w:val="0025446C"/>
    <w:rsid w:val="002558D3"/>
    <w:rsid w:val="002562C5"/>
    <w:rsid w:val="002578A6"/>
    <w:rsid w:val="00257C6B"/>
    <w:rsid w:val="002603E6"/>
    <w:rsid w:val="002603FF"/>
    <w:rsid w:val="00263C89"/>
    <w:rsid w:val="00263E1E"/>
    <w:rsid w:val="0026510D"/>
    <w:rsid w:val="0026666D"/>
    <w:rsid w:val="00266E90"/>
    <w:rsid w:val="0027189F"/>
    <w:rsid w:val="00273E87"/>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0D1E"/>
    <w:rsid w:val="002E15FE"/>
    <w:rsid w:val="002E1C8F"/>
    <w:rsid w:val="002E41D3"/>
    <w:rsid w:val="002E4507"/>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2AD6"/>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521A"/>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2FFE"/>
    <w:rsid w:val="003F447F"/>
    <w:rsid w:val="003F5251"/>
    <w:rsid w:val="00400EEC"/>
    <w:rsid w:val="0040197F"/>
    <w:rsid w:val="00402641"/>
    <w:rsid w:val="00402A10"/>
    <w:rsid w:val="0040517A"/>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26AF"/>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17C51"/>
    <w:rsid w:val="00520AAC"/>
    <w:rsid w:val="005210E7"/>
    <w:rsid w:val="005214E7"/>
    <w:rsid w:val="00536B6F"/>
    <w:rsid w:val="00536CF9"/>
    <w:rsid w:val="00536E28"/>
    <w:rsid w:val="0053719F"/>
    <w:rsid w:val="00537430"/>
    <w:rsid w:val="005402C8"/>
    <w:rsid w:val="005422F8"/>
    <w:rsid w:val="005428A6"/>
    <w:rsid w:val="00544BBA"/>
    <w:rsid w:val="00545568"/>
    <w:rsid w:val="00546408"/>
    <w:rsid w:val="00553796"/>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3C4A"/>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589"/>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6F2F86"/>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24C4"/>
    <w:rsid w:val="0074312B"/>
    <w:rsid w:val="0074539D"/>
    <w:rsid w:val="007519E3"/>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29F7"/>
    <w:rsid w:val="007A30B6"/>
    <w:rsid w:val="007A38E4"/>
    <w:rsid w:val="007A3B7E"/>
    <w:rsid w:val="007A3E9C"/>
    <w:rsid w:val="007A481D"/>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4EBB"/>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0428"/>
    <w:rsid w:val="008460BE"/>
    <w:rsid w:val="00847401"/>
    <w:rsid w:val="00854DCC"/>
    <w:rsid w:val="008575D2"/>
    <w:rsid w:val="00862CF0"/>
    <w:rsid w:val="008647DF"/>
    <w:rsid w:val="0087088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7295"/>
    <w:rsid w:val="008F0C70"/>
    <w:rsid w:val="008F0E8E"/>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0443"/>
    <w:rsid w:val="0097136A"/>
    <w:rsid w:val="009735D8"/>
    <w:rsid w:val="009737B7"/>
    <w:rsid w:val="00976C78"/>
    <w:rsid w:val="009807B0"/>
    <w:rsid w:val="00980BDB"/>
    <w:rsid w:val="00981120"/>
    <w:rsid w:val="00981334"/>
    <w:rsid w:val="00981746"/>
    <w:rsid w:val="00983F8A"/>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338C"/>
    <w:rsid w:val="009B487E"/>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755E"/>
    <w:rsid w:val="00A60D11"/>
    <w:rsid w:val="00A61F9F"/>
    <w:rsid w:val="00A64C70"/>
    <w:rsid w:val="00A67BAD"/>
    <w:rsid w:val="00A67E9A"/>
    <w:rsid w:val="00A701DA"/>
    <w:rsid w:val="00A7116E"/>
    <w:rsid w:val="00A7159C"/>
    <w:rsid w:val="00A718C8"/>
    <w:rsid w:val="00A8080A"/>
    <w:rsid w:val="00A81241"/>
    <w:rsid w:val="00A81C0C"/>
    <w:rsid w:val="00A84049"/>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123C"/>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1B18"/>
    <w:rsid w:val="00D52D29"/>
    <w:rsid w:val="00D54AE4"/>
    <w:rsid w:val="00D577BC"/>
    <w:rsid w:val="00D624C4"/>
    <w:rsid w:val="00D626F1"/>
    <w:rsid w:val="00D64073"/>
    <w:rsid w:val="00D65478"/>
    <w:rsid w:val="00D65E4B"/>
    <w:rsid w:val="00D707F0"/>
    <w:rsid w:val="00D70BDE"/>
    <w:rsid w:val="00D75E6F"/>
    <w:rsid w:val="00D76F0B"/>
    <w:rsid w:val="00D8242A"/>
    <w:rsid w:val="00D84483"/>
    <w:rsid w:val="00D86CEA"/>
    <w:rsid w:val="00D91E43"/>
    <w:rsid w:val="00D93BD1"/>
    <w:rsid w:val="00D946BF"/>
    <w:rsid w:val="00D964AB"/>
    <w:rsid w:val="00DA4F8C"/>
    <w:rsid w:val="00DB047E"/>
    <w:rsid w:val="00DB15B7"/>
    <w:rsid w:val="00DB263D"/>
    <w:rsid w:val="00DB2E8D"/>
    <w:rsid w:val="00DB2F6E"/>
    <w:rsid w:val="00DB57C4"/>
    <w:rsid w:val="00DB69E4"/>
    <w:rsid w:val="00DC0356"/>
    <w:rsid w:val="00DC0776"/>
    <w:rsid w:val="00DC450C"/>
    <w:rsid w:val="00DC63DB"/>
    <w:rsid w:val="00DC69AB"/>
    <w:rsid w:val="00DC75E2"/>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6F8B"/>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67969698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72AE0143-40A1-4887-B0DF-413C5A68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10225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2016-05-23T07:10:00Z</cp:lastPrinted>
  <dcterms:created xsi:type="dcterms:W3CDTF">2016-06-09T12:31:00Z</dcterms:created>
  <dcterms:modified xsi:type="dcterms:W3CDTF">2016-06-09T12:32:00Z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