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B4" w:rsidRPr="002C0FB4" w:rsidRDefault="002C0FB4" w:rsidP="002C0FB4">
      <w:pPr>
        <w:spacing w:line="276" w:lineRule="auto"/>
        <w:jc w:val="center"/>
        <w:rPr>
          <w:rFonts w:eastAsia="Calibri"/>
          <w:b/>
          <w:sz w:val="32"/>
          <w:szCs w:val="32"/>
          <w:lang/>
        </w:rPr>
      </w:pPr>
      <w:r w:rsidRPr="002C0FB4">
        <w:rPr>
          <w:rFonts w:eastAsia="Calibri"/>
          <w:b/>
          <w:sz w:val="32"/>
          <w:szCs w:val="32"/>
          <w:lang/>
        </w:rPr>
        <w:t>Javni poziv za podnošenje predloga projekata</w:t>
      </w:r>
      <w:r>
        <w:rPr>
          <w:rFonts w:eastAsia="Calibri"/>
          <w:b/>
          <w:sz w:val="32"/>
          <w:szCs w:val="32"/>
          <w:lang/>
        </w:rPr>
        <w:t xml:space="preserve"> za</w:t>
      </w:r>
    </w:p>
    <w:p w:rsidR="002C0FB4" w:rsidRDefault="002C0FB4" w:rsidP="002C0FB4">
      <w:pPr>
        <w:spacing w:line="276" w:lineRule="auto"/>
        <w:jc w:val="center"/>
        <w:rPr>
          <w:rFonts w:eastAsia="Calibri"/>
          <w:b/>
          <w:sz w:val="32"/>
          <w:szCs w:val="32"/>
          <w:lang/>
        </w:rPr>
      </w:pPr>
      <w:r>
        <w:rPr>
          <w:rFonts w:eastAsia="Calibri"/>
          <w:b/>
          <w:sz w:val="32"/>
          <w:szCs w:val="32"/>
          <w:lang/>
        </w:rPr>
        <w:t>p</w:t>
      </w:r>
      <w:r w:rsidRPr="002C0FB4">
        <w:rPr>
          <w:rFonts w:eastAsia="Calibri"/>
          <w:b/>
          <w:sz w:val="32"/>
          <w:szCs w:val="32"/>
          <w:lang/>
        </w:rPr>
        <w:t>ovećanje konkurentnosti otvaranjem novih r</w:t>
      </w:r>
      <w:r>
        <w:rPr>
          <w:rFonts w:eastAsia="Calibri"/>
          <w:b/>
          <w:sz w:val="32"/>
          <w:szCs w:val="32"/>
          <w:lang/>
        </w:rPr>
        <w:t>adnih mesta u privatnom sektoru</w:t>
      </w:r>
    </w:p>
    <w:p w:rsidR="002C0FB4" w:rsidRDefault="002C0FB4" w:rsidP="002C0FB4">
      <w:pPr>
        <w:spacing w:after="200" w:line="276" w:lineRule="auto"/>
        <w:jc w:val="center"/>
        <w:rPr>
          <w:rFonts w:eastAsia="Calibri"/>
          <w:b/>
          <w:sz w:val="32"/>
          <w:szCs w:val="32"/>
          <w:lang/>
        </w:rPr>
      </w:pPr>
      <w:r w:rsidRPr="002C0FB4">
        <w:rPr>
          <w:rFonts w:eastAsia="Calibri"/>
          <w:b/>
          <w:sz w:val="32"/>
          <w:szCs w:val="32"/>
          <w:lang/>
        </w:rPr>
        <w:t>CFP 05-2016</w:t>
      </w:r>
    </w:p>
    <w:p w:rsidR="002C0FB4" w:rsidRDefault="002C0FB4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/>
        </w:rPr>
      </w:pPr>
    </w:p>
    <w:p w:rsidR="00967BBB" w:rsidRPr="00967BBB" w:rsidRDefault="00967BBB" w:rsidP="00967BBB">
      <w:pPr>
        <w:spacing w:after="200" w:line="276" w:lineRule="auto"/>
        <w:jc w:val="center"/>
        <w:rPr>
          <w:rFonts w:eastAsia="Calibri"/>
          <w:b/>
          <w:sz w:val="32"/>
          <w:szCs w:val="32"/>
          <w:lang/>
        </w:rPr>
      </w:pPr>
      <w:r w:rsidRPr="00967BBB">
        <w:rPr>
          <w:rFonts w:eastAsia="Calibri"/>
          <w:b/>
          <w:sz w:val="32"/>
          <w:szCs w:val="32"/>
          <w:lang/>
        </w:rPr>
        <w:t>ČESTO POSTAVLJANA PITANJA</w:t>
      </w:r>
    </w:p>
    <w:p w:rsidR="008D0DBB" w:rsidRPr="00967BBB" w:rsidRDefault="008D0DBB" w:rsidP="00620C4A">
      <w:pPr>
        <w:spacing w:after="120"/>
        <w:ind w:left="709" w:hanging="720"/>
        <w:jc w:val="both"/>
        <w:rPr>
          <w:lang/>
        </w:rPr>
      </w:pPr>
    </w:p>
    <w:p w:rsidR="005900ED" w:rsidRDefault="00967BBB" w:rsidP="00F43FB7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t>P</w:t>
      </w:r>
      <w:r w:rsidR="00B91E18" w:rsidRPr="00A2746A">
        <w:rPr>
          <w:b/>
          <w:lang/>
        </w:rPr>
        <w:t>1.</w:t>
      </w:r>
      <w:r w:rsidR="005900ED">
        <w:rPr>
          <w:b/>
          <w:lang/>
        </w:rPr>
        <w:tab/>
        <w:t xml:space="preserve">Da li je neophodno da imamo </w:t>
      </w:r>
      <w:r w:rsidR="005900ED" w:rsidRPr="005900ED">
        <w:rPr>
          <w:b/>
          <w:lang/>
        </w:rPr>
        <w:t>akt o sistematizaciji radnih mesta</w:t>
      </w:r>
      <w:r w:rsidR="005900ED">
        <w:rPr>
          <w:b/>
          <w:lang/>
        </w:rPr>
        <w:t xml:space="preserve"> na osnovu koje </w:t>
      </w:r>
      <w:r w:rsidR="005900ED" w:rsidRPr="005900ED">
        <w:rPr>
          <w:b/>
          <w:lang/>
        </w:rPr>
        <w:t>će se</w:t>
      </w:r>
      <w:r w:rsidR="005900ED">
        <w:rPr>
          <w:b/>
          <w:lang/>
        </w:rPr>
        <w:t xml:space="preserve"> videti koja radna mesta mi trenutno imamo i koja planiramo da otvorimo ukoliko dobijemo donaciju? Mi smo mala firma koja zapošljava svega pet radnika zbog čega nama do sada nije bila neophodna sistematizacija.</w:t>
      </w:r>
      <w:r w:rsidR="005900ED" w:rsidRPr="005900ED">
        <w:rPr>
          <w:b/>
          <w:lang/>
        </w:rPr>
        <w:t xml:space="preserve"> </w:t>
      </w:r>
    </w:p>
    <w:p w:rsidR="00B91E18" w:rsidRPr="00967BBB" w:rsidRDefault="00967BBB" w:rsidP="00620C4A">
      <w:pPr>
        <w:spacing w:after="120"/>
        <w:ind w:left="709" w:hanging="720"/>
        <w:jc w:val="both"/>
        <w:rPr>
          <w:lang/>
        </w:rPr>
      </w:pPr>
      <w:r w:rsidRPr="00967BBB">
        <w:rPr>
          <w:b/>
          <w:lang/>
        </w:rPr>
        <w:t>O</w:t>
      </w:r>
      <w:r w:rsidR="00620C4A" w:rsidRPr="00967BBB">
        <w:rPr>
          <w:b/>
          <w:lang/>
        </w:rPr>
        <w:t>1.</w:t>
      </w:r>
      <w:r w:rsidR="00620C4A" w:rsidRPr="00967BBB">
        <w:rPr>
          <w:lang/>
        </w:rPr>
        <w:tab/>
      </w:r>
      <w:r w:rsidR="00F43FB7" w:rsidRPr="005900ED">
        <w:rPr>
          <w:lang/>
        </w:rPr>
        <w:t xml:space="preserve">Ne, nije </w:t>
      </w:r>
      <w:r w:rsidR="005900ED" w:rsidRPr="005900ED">
        <w:rPr>
          <w:lang/>
        </w:rPr>
        <w:t xml:space="preserve">neophodno da imate i dostavite akt o sistematizaciji radnih mesta. Nova radna mesta će se verifikovati na osnovu statističkih aneksa koji moraju da dokažu povećanje ukupnog broja radnih mesta u odnosu na početno stanje (u trenutku podnošenja prijave). Naravno ukoliko postoji takav akt, svakako </w:t>
      </w:r>
      <w:r w:rsidR="004452CB">
        <w:rPr>
          <w:lang/>
        </w:rPr>
        <w:t xml:space="preserve">ga </w:t>
      </w:r>
      <w:r w:rsidR="005900ED" w:rsidRPr="005900ED">
        <w:rPr>
          <w:lang/>
        </w:rPr>
        <w:t>možete dostaviti.</w:t>
      </w:r>
      <w:r w:rsidR="005900ED">
        <w:rPr>
          <w:lang/>
        </w:rPr>
        <w:t xml:space="preserve"> </w:t>
      </w:r>
      <w:r w:rsidR="00F43FB7">
        <w:rPr>
          <w:lang/>
        </w:rPr>
        <w:t xml:space="preserve"> </w:t>
      </w:r>
    </w:p>
    <w:p w:rsidR="00620C4A" w:rsidRPr="00967BBB" w:rsidRDefault="00620C4A" w:rsidP="00620C4A">
      <w:pPr>
        <w:spacing w:after="120"/>
        <w:ind w:left="709" w:hanging="720"/>
        <w:jc w:val="both"/>
        <w:rPr>
          <w:lang/>
        </w:rPr>
      </w:pPr>
    </w:p>
    <w:p w:rsidR="00B91E18" w:rsidRPr="00A2746A" w:rsidRDefault="00967BBB" w:rsidP="00620C4A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t>P1.</w:t>
      </w:r>
      <w:r w:rsidR="00620C4A" w:rsidRPr="00A2746A">
        <w:rPr>
          <w:b/>
          <w:lang/>
        </w:rPr>
        <w:t>  </w:t>
      </w:r>
      <w:r w:rsidR="00620C4A" w:rsidRPr="00A2746A">
        <w:rPr>
          <w:b/>
          <w:lang/>
        </w:rPr>
        <w:tab/>
      </w:r>
      <w:r w:rsidR="00F43FB7">
        <w:rPr>
          <w:b/>
          <w:lang/>
        </w:rPr>
        <w:t xml:space="preserve">Da li </w:t>
      </w:r>
      <w:r w:rsidR="005900ED">
        <w:rPr>
          <w:b/>
          <w:lang/>
        </w:rPr>
        <w:t>možemo da podnesemo prijavu za nabavku vozila koje nam je neophodno za obavljanje delatnosti?</w:t>
      </w:r>
    </w:p>
    <w:p w:rsidR="00620C4A" w:rsidRDefault="00967BBB" w:rsidP="008D4062">
      <w:pPr>
        <w:spacing w:after="120"/>
        <w:ind w:left="709" w:hanging="720"/>
        <w:jc w:val="both"/>
        <w:rPr>
          <w:lang/>
        </w:rPr>
      </w:pPr>
      <w:r w:rsidRPr="00967BBB">
        <w:rPr>
          <w:b/>
          <w:lang/>
        </w:rPr>
        <w:t>O1.</w:t>
      </w:r>
      <w:r w:rsidR="00620C4A" w:rsidRPr="00967BBB">
        <w:rPr>
          <w:lang/>
        </w:rPr>
        <w:t>        </w:t>
      </w:r>
      <w:r w:rsidR="00620C4A" w:rsidRPr="00967BBB">
        <w:rPr>
          <w:lang/>
        </w:rPr>
        <w:tab/>
      </w:r>
      <w:r w:rsidR="00F43FB7">
        <w:rPr>
          <w:lang/>
        </w:rPr>
        <w:t xml:space="preserve">Ne, </w:t>
      </w:r>
      <w:r w:rsidR="005900ED">
        <w:rPr>
          <w:lang/>
        </w:rPr>
        <w:t>bez obzira što se vozilo smatra osnovnim sredstvom, putem ovog javnog poziva ne možete nabavi</w:t>
      </w:r>
      <w:r w:rsidR="004452CB">
        <w:rPr>
          <w:lang/>
        </w:rPr>
        <w:t xml:space="preserve">ti vozilo. Ovim pozivom podržavamo </w:t>
      </w:r>
      <w:r w:rsidR="005900ED">
        <w:rPr>
          <w:lang/>
        </w:rPr>
        <w:t>nabavk</w:t>
      </w:r>
      <w:r w:rsidR="004452CB">
        <w:rPr>
          <w:lang/>
        </w:rPr>
        <w:t>u</w:t>
      </w:r>
      <w:r w:rsidR="005900ED">
        <w:rPr>
          <w:lang/>
        </w:rPr>
        <w:t xml:space="preserve"> opreme </w:t>
      </w:r>
      <w:r w:rsidR="005900ED" w:rsidRPr="005900ED">
        <w:rPr>
          <w:lang/>
        </w:rPr>
        <w:t>nove mašine i softver</w:t>
      </w:r>
      <w:r w:rsidR="005900ED">
        <w:rPr>
          <w:lang/>
        </w:rPr>
        <w:t>.</w:t>
      </w:r>
    </w:p>
    <w:p w:rsidR="00574A03" w:rsidRPr="00967BBB" w:rsidRDefault="00574A03" w:rsidP="008D4062">
      <w:pPr>
        <w:spacing w:after="120"/>
        <w:ind w:left="709" w:hanging="720"/>
        <w:jc w:val="both"/>
        <w:rPr>
          <w:lang/>
        </w:rPr>
      </w:pPr>
    </w:p>
    <w:p w:rsidR="00B91E18" w:rsidRPr="00A2746A" w:rsidRDefault="00967BBB" w:rsidP="00620C4A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t>P3.</w:t>
      </w:r>
      <w:r w:rsidR="00620C4A" w:rsidRPr="00A2746A">
        <w:rPr>
          <w:b/>
          <w:lang/>
        </w:rPr>
        <w:t>  </w:t>
      </w:r>
      <w:r w:rsidR="00620C4A" w:rsidRPr="00A2746A">
        <w:rPr>
          <w:b/>
          <w:lang/>
        </w:rPr>
        <w:tab/>
      </w:r>
      <w:r w:rsidR="00BD5E0F">
        <w:rPr>
          <w:b/>
          <w:lang/>
        </w:rPr>
        <w:t>Da li tokom trajanja poziva možemo da promenimo šifru pretežne delatnosti u APRu, kako bismo imali pravo učešća na javnom pozivu</w:t>
      </w:r>
      <w:r w:rsidR="00B91E18" w:rsidRPr="00A2746A">
        <w:rPr>
          <w:b/>
          <w:lang/>
        </w:rPr>
        <w:t>?</w:t>
      </w:r>
    </w:p>
    <w:p w:rsidR="00B91E18" w:rsidRPr="00967BBB" w:rsidRDefault="00967BBB" w:rsidP="008D4062">
      <w:pPr>
        <w:spacing w:after="120"/>
        <w:ind w:left="709" w:hanging="720"/>
        <w:jc w:val="both"/>
        <w:rPr>
          <w:lang/>
        </w:rPr>
      </w:pPr>
      <w:r w:rsidRPr="00967BBB">
        <w:rPr>
          <w:b/>
          <w:lang/>
        </w:rPr>
        <w:t>O3.</w:t>
      </w:r>
      <w:r w:rsidR="00620C4A" w:rsidRPr="00967BBB">
        <w:rPr>
          <w:lang/>
        </w:rPr>
        <w:t>     </w:t>
      </w:r>
      <w:r w:rsidR="00620C4A" w:rsidRPr="00967BBB">
        <w:rPr>
          <w:lang/>
        </w:rPr>
        <w:tab/>
      </w:r>
      <w:r w:rsidR="00BD5E0F">
        <w:rPr>
          <w:lang/>
        </w:rPr>
        <w:t xml:space="preserve">Da, moguće je </w:t>
      </w:r>
      <w:r w:rsidR="00BD5E0F" w:rsidRPr="00BD5E0F">
        <w:rPr>
          <w:lang/>
        </w:rPr>
        <w:t>tokom trajanja poziva promena šifre pretežne delatnosti u APRu. Međutim</w:t>
      </w:r>
      <w:r w:rsidR="004452CB">
        <w:rPr>
          <w:lang/>
        </w:rPr>
        <w:t>,</w:t>
      </w:r>
      <w:r w:rsidR="00BD5E0F">
        <w:rPr>
          <w:b/>
          <w:lang/>
        </w:rPr>
        <w:t xml:space="preserve"> </w:t>
      </w:r>
      <w:r w:rsidR="00BD5E0F">
        <w:rPr>
          <w:lang/>
        </w:rPr>
        <w:t xml:space="preserve">neophodno je da se putem prijavnog formulara dokaže da firma poseduje </w:t>
      </w:r>
      <w:r w:rsidR="00BD5E0F" w:rsidRPr="00BD5E0F">
        <w:rPr>
          <w:lang/>
        </w:rPr>
        <w:t>dovoljno stručnosti, organizacione sposobnosti i  n</w:t>
      </w:r>
      <w:r w:rsidR="00BD5E0F">
        <w:rPr>
          <w:lang/>
        </w:rPr>
        <w:t>e</w:t>
      </w:r>
      <w:r w:rsidR="00BD5E0F" w:rsidRPr="00BD5E0F">
        <w:rPr>
          <w:lang/>
        </w:rPr>
        <w:t>-fin</w:t>
      </w:r>
      <w:r w:rsidR="00BD5E0F">
        <w:rPr>
          <w:lang/>
        </w:rPr>
        <w:t>a</w:t>
      </w:r>
      <w:r w:rsidR="00BD5E0F" w:rsidRPr="00BD5E0F">
        <w:rPr>
          <w:lang/>
        </w:rPr>
        <w:t>sijskih sredstva za uspešno sprovođenje poslovne ideje</w:t>
      </w:r>
      <w:r w:rsidR="00BD5E0F">
        <w:rPr>
          <w:lang/>
        </w:rPr>
        <w:t xml:space="preserve"> za koju se podnosi prijava. U tom smilsu ukoliko se opredelite za promenu pretežne delatnosti, neophodno je da je nova delatnost komp</w:t>
      </w:r>
      <w:r w:rsidR="004452CB">
        <w:rPr>
          <w:lang/>
        </w:rPr>
        <w:t>le</w:t>
      </w:r>
      <w:r w:rsidR="00BD5E0F">
        <w:rPr>
          <w:lang/>
        </w:rPr>
        <w:t xml:space="preserve">mentarna dosadašnjem poslovnom iskustvu, npr. ukoliko se firma do sada uspešno bavila trgovinom tekstilnim proizvodima i poseduje odlično poznavanje tržišta, moguće je da promeni delatnost i podnese prijavu za nabavku opreme koja se tiče proizvodnje proizvoda kojima je do tada trgovala.   </w:t>
      </w:r>
    </w:p>
    <w:p w:rsidR="00620C4A" w:rsidRPr="00967BBB" w:rsidRDefault="00620C4A" w:rsidP="00620C4A">
      <w:pPr>
        <w:spacing w:after="120"/>
        <w:ind w:left="709" w:hanging="720"/>
        <w:jc w:val="both"/>
        <w:rPr>
          <w:lang/>
        </w:rPr>
      </w:pPr>
    </w:p>
    <w:p w:rsidR="00B91E18" w:rsidRPr="00A2746A" w:rsidRDefault="00967BBB" w:rsidP="00620C4A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lastRenderedPageBreak/>
        <w:t>P4.    </w:t>
      </w:r>
      <w:r w:rsidRPr="00A2746A">
        <w:rPr>
          <w:b/>
          <w:lang/>
        </w:rPr>
        <w:tab/>
      </w:r>
      <w:r w:rsidR="00BD5E0F">
        <w:rPr>
          <w:b/>
          <w:lang/>
        </w:rPr>
        <w:t xml:space="preserve">Moja preduzetnička radnja je u </w:t>
      </w:r>
      <w:r w:rsidR="00BD5E0F" w:rsidRPr="00BD5E0F">
        <w:rPr>
          <w:b/>
          <w:lang/>
        </w:rPr>
        <w:t>sistemu paušalnog oporezivanja</w:t>
      </w:r>
      <w:r w:rsidR="00BD5E0F">
        <w:rPr>
          <w:b/>
          <w:lang/>
        </w:rPr>
        <w:t>, te zbog toga nismo u obavezi pripremanja finasijskog izveštaja koju uključuje bilans stanja, uspeha i statistički aneks. Koju vrstu dokumentacije je neophodno da dostavim kako bih dokazao koliki je poslovni promet i broj zaposlenih?</w:t>
      </w:r>
    </w:p>
    <w:p w:rsidR="00967BBB" w:rsidRPr="00967BBB" w:rsidRDefault="00967BBB" w:rsidP="00967BBB">
      <w:pPr>
        <w:spacing w:after="120"/>
        <w:ind w:left="709" w:hanging="720"/>
        <w:jc w:val="both"/>
        <w:rPr>
          <w:lang/>
        </w:rPr>
      </w:pPr>
      <w:r w:rsidRPr="00967BBB">
        <w:rPr>
          <w:b/>
          <w:lang/>
        </w:rPr>
        <w:t>O4.</w:t>
      </w:r>
      <w:r w:rsidR="00620C4A" w:rsidRPr="00967BBB">
        <w:rPr>
          <w:lang/>
        </w:rPr>
        <w:t>  </w:t>
      </w:r>
      <w:r w:rsidR="00620C4A" w:rsidRPr="00967BBB">
        <w:rPr>
          <w:lang/>
        </w:rPr>
        <w:tab/>
      </w:r>
      <w:r w:rsidR="00BD5E0F" w:rsidRPr="00BD5E0F">
        <w:rPr>
          <w:lang/>
        </w:rPr>
        <w:t>Preduzetnici koji su u sistemu paušalnog oporezivanja</w:t>
      </w:r>
      <w:r w:rsidR="00D15F31">
        <w:rPr>
          <w:lang/>
        </w:rPr>
        <w:t>, neophodno je da predaju</w:t>
      </w:r>
      <w:r w:rsidR="00BD5E0F" w:rsidRPr="00BD5E0F">
        <w:rPr>
          <w:lang/>
        </w:rPr>
        <w:t xml:space="preserve"> poresku prijavu na obrascu PPDG-1R</w:t>
      </w:r>
      <w:r w:rsidR="00D15F31">
        <w:rPr>
          <w:rStyle w:val="FootnoteReference"/>
          <w:lang/>
        </w:rPr>
        <w:footnoteReference w:id="1"/>
      </w:r>
      <w:r w:rsidR="00BD5E0F" w:rsidRPr="00BD5E0F">
        <w:rPr>
          <w:lang/>
        </w:rPr>
        <w:t xml:space="preserve"> iz koje se može videti ukupan prihod kao i broj zaposlenih u momentu predaje prijave.</w:t>
      </w:r>
    </w:p>
    <w:p w:rsidR="00A2746A" w:rsidRDefault="00A2746A" w:rsidP="00967BBB">
      <w:pPr>
        <w:spacing w:after="120"/>
        <w:ind w:left="709" w:hanging="720"/>
        <w:jc w:val="both"/>
        <w:rPr>
          <w:b/>
          <w:lang/>
        </w:rPr>
      </w:pPr>
    </w:p>
    <w:p w:rsidR="00B91E18" w:rsidRPr="00A2746A" w:rsidRDefault="00967BBB" w:rsidP="00967BBB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t>P5.</w:t>
      </w:r>
      <w:r w:rsidR="00B91E18" w:rsidRPr="00A2746A">
        <w:rPr>
          <w:b/>
          <w:lang/>
        </w:rPr>
        <w:t> </w:t>
      </w:r>
      <w:r w:rsidR="00EB1727" w:rsidRPr="00A2746A">
        <w:rPr>
          <w:b/>
          <w:lang/>
        </w:rPr>
        <w:t xml:space="preserve">  </w:t>
      </w:r>
      <w:r w:rsidR="00620C4A" w:rsidRPr="00A2746A">
        <w:rPr>
          <w:b/>
          <w:lang/>
        </w:rPr>
        <w:tab/>
      </w:r>
      <w:r w:rsidR="00D15F31">
        <w:rPr>
          <w:b/>
          <w:lang/>
        </w:rPr>
        <w:t>Koliko godina nakon dobijanja opreme istu ne možemo da ot</w:t>
      </w:r>
      <w:r w:rsidR="00291AB9">
        <w:rPr>
          <w:b/>
          <w:lang/>
        </w:rPr>
        <w:t>u</w:t>
      </w:r>
      <w:r w:rsidR="00D15F31">
        <w:rPr>
          <w:b/>
          <w:lang/>
        </w:rPr>
        <w:t>đimo?</w:t>
      </w:r>
    </w:p>
    <w:p w:rsidR="00620C4A" w:rsidRPr="00967BBB" w:rsidRDefault="00967BBB" w:rsidP="00B712C7">
      <w:pPr>
        <w:spacing w:after="120"/>
        <w:ind w:left="709" w:hanging="720"/>
        <w:jc w:val="both"/>
        <w:rPr>
          <w:lang/>
        </w:rPr>
      </w:pPr>
      <w:r w:rsidRPr="00967BBB">
        <w:rPr>
          <w:b/>
          <w:lang/>
        </w:rPr>
        <w:t>O5.</w:t>
      </w:r>
      <w:r w:rsidR="00E420E4" w:rsidRPr="00967BBB">
        <w:rPr>
          <w:lang/>
        </w:rPr>
        <w:tab/>
      </w:r>
      <w:r w:rsidR="00D15F31">
        <w:rPr>
          <w:lang/>
        </w:rPr>
        <w:t xml:space="preserve">Minimalno tri godine </w:t>
      </w:r>
      <w:bookmarkStart w:id="0" w:name="_GoBack"/>
      <w:bookmarkEnd w:id="0"/>
      <w:r w:rsidR="00D15F31">
        <w:rPr>
          <w:lang/>
        </w:rPr>
        <w:t>nakon donacije opremu ne možete otuđiti.</w:t>
      </w:r>
    </w:p>
    <w:p w:rsidR="00967BBB" w:rsidRPr="00967BBB" w:rsidRDefault="00967BBB" w:rsidP="00620C4A">
      <w:pPr>
        <w:spacing w:after="120"/>
        <w:jc w:val="both"/>
        <w:rPr>
          <w:lang/>
        </w:rPr>
      </w:pPr>
    </w:p>
    <w:p w:rsidR="00B91E18" w:rsidRPr="00A2746A" w:rsidRDefault="00967BBB" w:rsidP="00B712C7">
      <w:pPr>
        <w:spacing w:after="120"/>
        <w:ind w:left="709" w:hanging="709"/>
        <w:jc w:val="both"/>
        <w:rPr>
          <w:b/>
          <w:lang/>
        </w:rPr>
      </w:pPr>
      <w:r w:rsidRPr="00A2746A">
        <w:rPr>
          <w:b/>
          <w:lang/>
        </w:rPr>
        <w:t>P6.</w:t>
      </w:r>
      <w:r w:rsidRPr="00A2746A">
        <w:rPr>
          <w:b/>
          <w:lang/>
        </w:rPr>
        <w:tab/>
      </w:r>
      <w:r w:rsidR="00D15F31" w:rsidRPr="006074B7">
        <w:rPr>
          <w:b/>
          <w:lang/>
        </w:rPr>
        <w:t>Iz kojih institucija je neophodno da dostavimo potvrdu da vlasnik (ci) nije(su) krivično osuđivan(i) ili pod krivičnom istragom?</w:t>
      </w:r>
    </w:p>
    <w:p w:rsidR="00D15F31" w:rsidRPr="00D15F31" w:rsidRDefault="00967BBB" w:rsidP="00D15F31">
      <w:pPr>
        <w:ind w:left="709" w:hanging="709"/>
        <w:rPr>
          <w:lang/>
        </w:rPr>
      </w:pPr>
      <w:r w:rsidRPr="00967BBB">
        <w:rPr>
          <w:b/>
          <w:lang/>
        </w:rPr>
        <w:t>O6.</w:t>
      </w:r>
      <w:r w:rsidR="00B712C7">
        <w:rPr>
          <w:lang/>
        </w:rPr>
        <w:tab/>
      </w:r>
      <w:r w:rsidR="00D15F31" w:rsidRPr="00D15F31">
        <w:rPr>
          <w:lang/>
        </w:rPr>
        <w:t>Potvrdu da lice ni</w:t>
      </w:r>
      <w:r w:rsidR="00D15F31">
        <w:rPr>
          <w:lang/>
        </w:rPr>
        <w:t>je krivično osuđivano izdaje Ministarstvo unutrašnjih poslova (MUP)</w:t>
      </w:r>
      <w:r w:rsidR="00D15F31" w:rsidRPr="00D15F31">
        <w:rPr>
          <w:lang/>
        </w:rPr>
        <w:t xml:space="preserve">, a potvrdu da se protiv lica ne vodi krivični postupak izdaje nadležni sud. </w:t>
      </w:r>
    </w:p>
    <w:p w:rsidR="00967BBB" w:rsidRPr="00967BBB" w:rsidRDefault="00967BBB" w:rsidP="00D15F31">
      <w:pPr>
        <w:spacing w:after="120"/>
        <w:jc w:val="both"/>
        <w:rPr>
          <w:lang/>
        </w:rPr>
      </w:pPr>
    </w:p>
    <w:p w:rsidR="00B91E18" w:rsidRPr="00A2746A" w:rsidRDefault="00967BBB" w:rsidP="00620C4A">
      <w:pPr>
        <w:spacing w:after="120"/>
        <w:ind w:left="709" w:hanging="720"/>
        <w:jc w:val="both"/>
        <w:rPr>
          <w:b/>
          <w:lang/>
        </w:rPr>
      </w:pPr>
      <w:r w:rsidRPr="00A2746A">
        <w:rPr>
          <w:b/>
          <w:lang/>
        </w:rPr>
        <w:t>P7.</w:t>
      </w:r>
      <w:r w:rsidR="00B91E18" w:rsidRPr="00A2746A">
        <w:rPr>
          <w:b/>
          <w:lang/>
        </w:rPr>
        <w:tab/>
      </w:r>
      <w:r w:rsidR="00D15F31">
        <w:rPr>
          <w:b/>
          <w:lang/>
        </w:rPr>
        <w:t>Naše preduzeće je potpisalo ugovor o reprogramu duga po osnovu poreza i doprinosa sa Poreskom upravom. Istovremeno je neophodno da dostavimo u</w:t>
      </w:r>
      <w:r w:rsidR="00D15F31" w:rsidRPr="00D15F31">
        <w:rPr>
          <w:b/>
          <w:lang w:val="vi-VN"/>
        </w:rPr>
        <w:t xml:space="preserve">verenje nadležne poreske uprave da </w:t>
      </w:r>
      <w:r w:rsidR="00D15F31">
        <w:rPr>
          <w:b/>
          <w:lang/>
        </w:rPr>
        <w:t>smo</w:t>
      </w:r>
      <w:r w:rsidR="00D15F31">
        <w:rPr>
          <w:b/>
          <w:lang w:val="vi-VN"/>
        </w:rPr>
        <w:t xml:space="preserve"> plati</w:t>
      </w:r>
      <w:r w:rsidR="00D15F31">
        <w:rPr>
          <w:b/>
          <w:lang/>
        </w:rPr>
        <w:t>li</w:t>
      </w:r>
      <w:r w:rsidR="00D15F31" w:rsidRPr="00D15F31">
        <w:rPr>
          <w:b/>
          <w:lang w:val="vi-VN"/>
        </w:rPr>
        <w:t xml:space="preserve"> sve poreske obaveze do dana objavljivanja javnog poziva</w:t>
      </w:r>
      <w:r w:rsidR="00D15F31">
        <w:rPr>
          <w:b/>
          <w:lang/>
        </w:rPr>
        <w:t xml:space="preserve">. Da li </w:t>
      </w:r>
      <w:r w:rsidR="006074B7">
        <w:rPr>
          <w:b/>
          <w:lang/>
        </w:rPr>
        <w:t xml:space="preserve">će biti uvaženo uverenje poreske uprave na kojem će stajati da smo izmirili sve obaveze do dana objavljivanja javnog poziva u skladu sa ugovorom o reprogramu duga? </w:t>
      </w:r>
      <w:r w:rsidR="00D15F31">
        <w:rPr>
          <w:b/>
          <w:lang/>
        </w:rPr>
        <w:t xml:space="preserve">  </w:t>
      </w:r>
    </w:p>
    <w:p w:rsidR="00E44405" w:rsidRPr="00E44405" w:rsidRDefault="00967BBB" w:rsidP="00E44405">
      <w:pPr>
        <w:spacing w:after="120"/>
        <w:ind w:left="709" w:hanging="720"/>
        <w:jc w:val="both"/>
        <w:rPr>
          <w:lang/>
        </w:rPr>
      </w:pPr>
      <w:r>
        <w:rPr>
          <w:b/>
          <w:lang/>
        </w:rPr>
        <w:t>O7.</w:t>
      </w:r>
      <w:r w:rsidR="00C35D38" w:rsidRPr="00967BBB">
        <w:rPr>
          <w:lang/>
        </w:rPr>
        <w:tab/>
      </w:r>
      <w:r w:rsidR="006074B7">
        <w:rPr>
          <w:lang/>
        </w:rPr>
        <w:t>Da, takva vrsta uverenje biće uvažena kao validan dokument. U smislu ovo</w:t>
      </w:r>
      <w:r w:rsidR="009E2A9A">
        <w:rPr>
          <w:lang/>
        </w:rPr>
        <w:t>g</w:t>
      </w:r>
      <w:r w:rsidR="006074B7">
        <w:rPr>
          <w:lang/>
        </w:rPr>
        <w:t xml:space="preserve"> javnog poziva neophodno je uverenje nadležne poreske uprave koji je dokaz da je podnosilac izmirio sve obaveze po osnovu poreza i doprinosa ili je te obaveze putem dodatnog ugovora definisao sa poreskom upravom.</w:t>
      </w:r>
    </w:p>
    <w:sectPr w:rsidR="00E44405" w:rsidRPr="00E44405" w:rsidSect="008D0DBB">
      <w:headerReference w:type="default" r:id="rId8"/>
      <w:pgSz w:w="12240" w:h="15840"/>
      <w:pgMar w:top="28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08" w:rsidRDefault="00D73608" w:rsidP="008D0DBB">
      <w:r>
        <w:separator/>
      </w:r>
    </w:p>
  </w:endnote>
  <w:endnote w:type="continuationSeparator" w:id="0">
    <w:p w:rsidR="00D73608" w:rsidRDefault="00D73608" w:rsidP="008D0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08" w:rsidRDefault="00D73608" w:rsidP="008D0DBB">
      <w:r>
        <w:separator/>
      </w:r>
    </w:p>
  </w:footnote>
  <w:footnote w:type="continuationSeparator" w:id="0">
    <w:p w:rsidR="00D73608" w:rsidRDefault="00D73608" w:rsidP="008D0DBB">
      <w:r>
        <w:continuationSeparator/>
      </w:r>
    </w:p>
  </w:footnote>
  <w:footnote w:id="1">
    <w:p w:rsidR="00D15F31" w:rsidRPr="00D15F31" w:rsidRDefault="00D15F31">
      <w:pPr>
        <w:pStyle w:val="FootnoteText"/>
        <w:rPr>
          <w:sz w:val="18"/>
          <w:szCs w:val="18"/>
          <w:lang/>
        </w:rPr>
      </w:pPr>
      <w:r>
        <w:rPr>
          <w:rStyle w:val="FootnoteReference"/>
        </w:rPr>
        <w:footnoteRef/>
      </w:r>
      <w:r>
        <w:t xml:space="preserve"> </w:t>
      </w:r>
      <w:r w:rsidRPr="00D15F31">
        <w:rPr>
          <w:sz w:val="18"/>
          <w:szCs w:val="18"/>
          <w:lang/>
        </w:rPr>
        <w:t xml:space="preserve">Poreska prijava dostupna na internet strani </w:t>
      </w:r>
      <w:hyperlink r:id="rId1" w:history="1">
        <w:r w:rsidRPr="00D15F31">
          <w:rPr>
            <w:rStyle w:val="Hyperlink"/>
            <w:sz w:val="18"/>
            <w:szCs w:val="18"/>
            <w:lang/>
          </w:rPr>
          <w:t>http://www.paragraf.rs/obrasci/Obrazac_PPDG-1R_-_ID_3329.pdf</w:t>
        </w:r>
      </w:hyperlink>
    </w:p>
    <w:p w:rsidR="00D15F31" w:rsidRPr="00D15F31" w:rsidRDefault="00D15F31">
      <w:pPr>
        <w:pStyle w:val="FootnoteText"/>
        <w:rPr>
          <w:sz w:val="18"/>
          <w:szCs w:val="18"/>
          <w:lang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BB" w:rsidRDefault="009A1839">
    <w:pPr>
      <w:pStyle w:val="Header"/>
    </w:pPr>
    <w:r w:rsidRPr="002D65C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-450319</wp:posOffset>
          </wp:positionV>
          <wp:extent cx="7560310" cy="1441103"/>
          <wp:effectExtent l="0" t="0" r="2540" b="6985"/>
          <wp:wrapNone/>
          <wp:docPr id="1" name="Picture 1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0DBB" w:rsidRDefault="008D0D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23429"/>
    <w:multiLevelType w:val="hybridMultilevel"/>
    <w:tmpl w:val="162AC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76191"/>
    <w:multiLevelType w:val="hybridMultilevel"/>
    <w:tmpl w:val="617E77EC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1E18"/>
    <w:rsid w:val="00027599"/>
    <w:rsid w:val="00036D0A"/>
    <w:rsid w:val="000718AE"/>
    <w:rsid w:val="00182900"/>
    <w:rsid w:val="001944B1"/>
    <w:rsid w:val="00194774"/>
    <w:rsid w:val="00197985"/>
    <w:rsid w:val="001A0748"/>
    <w:rsid w:val="0027749A"/>
    <w:rsid w:val="00290A75"/>
    <w:rsid w:val="00291AB9"/>
    <w:rsid w:val="002C0FB4"/>
    <w:rsid w:val="003041C8"/>
    <w:rsid w:val="00320690"/>
    <w:rsid w:val="00346C07"/>
    <w:rsid w:val="00355333"/>
    <w:rsid w:val="003754B0"/>
    <w:rsid w:val="003D661D"/>
    <w:rsid w:val="003F1B46"/>
    <w:rsid w:val="00403D6D"/>
    <w:rsid w:val="004452CB"/>
    <w:rsid w:val="004E4A76"/>
    <w:rsid w:val="00501901"/>
    <w:rsid w:val="005221AE"/>
    <w:rsid w:val="0054304A"/>
    <w:rsid w:val="00574A03"/>
    <w:rsid w:val="00575A7C"/>
    <w:rsid w:val="005900ED"/>
    <w:rsid w:val="006074B7"/>
    <w:rsid w:val="00620C4A"/>
    <w:rsid w:val="0065194C"/>
    <w:rsid w:val="006E2D82"/>
    <w:rsid w:val="00792978"/>
    <w:rsid w:val="007C0FC4"/>
    <w:rsid w:val="0083613D"/>
    <w:rsid w:val="0084370A"/>
    <w:rsid w:val="008927D4"/>
    <w:rsid w:val="008D0DBB"/>
    <w:rsid w:val="008D4062"/>
    <w:rsid w:val="008E49A2"/>
    <w:rsid w:val="009248BE"/>
    <w:rsid w:val="00967BBB"/>
    <w:rsid w:val="00975360"/>
    <w:rsid w:val="00992948"/>
    <w:rsid w:val="009A1839"/>
    <w:rsid w:val="009E2A9A"/>
    <w:rsid w:val="00A132E9"/>
    <w:rsid w:val="00A24AB2"/>
    <w:rsid w:val="00A2746A"/>
    <w:rsid w:val="00A40D6B"/>
    <w:rsid w:val="00A56613"/>
    <w:rsid w:val="00AB32EA"/>
    <w:rsid w:val="00AB5F53"/>
    <w:rsid w:val="00AD6C92"/>
    <w:rsid w:val="00B10C34"/>
    <w:rsid w:val="00B712C7"/>
    <w:rsid w:val="00B91E18"/>
    <w:rsid w:val="00B95F3A"/>
    <w:rsid w:val="00BC4AAD"/>
    <w:rsid w:val="00BD5E0F"/>
    <w:rsid w:val="00BE54D5"/>
    <w:rsid w:val="00C11C30"/>
    <w:rsid w:val="00C2018F"/>
    <w:rsid w:val="00C20E55"/>
    <w:rsid w:val="00C35D38"/>
    <w:rsid w:val="00C870BE"/>
    <w:rsid w:val="00CC2535"/>
    <w:rsid w:val="00D15F31"/>
    <w:rsid w:val="00D73608"/>
    <w:rsid w:val="00DE2FAE"/>
    <w:rsid w:val="00DF3E33"/>
    <w:rsid w:val="00E420E4"/>
    <w:rsid w:val="00E43E2C"/>
    <w:rsid w:val="00E44405"/>
    <w:rsid w:val="00E74A80"/>
    <w:rsid w:val="00E9068B"/>
    <w:rsid w:val="00EB1727"/>
    <w:rsid w:val="00EF2A33"/>
    <w:rsid w:val="00F10DD3"/>
    <w:rsid w:val="00F43FB7"/>
    <w:rsid w:val="00F47E95"/>
    <w:rsid w:val="00F5197A"/>
    <w:rsid w:val="00F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13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3D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7E9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B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0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BB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5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F3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F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5F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1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22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5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graf.rs/obrasci/Obrazac_PPDG-1R_-_ID_332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236C-FE23-4825-A2FA-046B2C9C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Marcic</dc:creator>
  <cp:lastModifiedBy>hajdarpasic</cp:lastModifiedBy>
  <cp:revision>3</cp:revision>
  <cp:lastPrinted>2015-10-19T09:15:00Z</cp:lastPrinted>
  <dcterms:created xsi:type="dcterms:W3CDTF">2016-05-20T08:14:00Z</dcterms:created>
  <dcterms:modified xsi:type="dcterms:W3CDTF">2016-05-20T08:16:00Z</dcterms:modified>
</cp:coreProperties>
</file>