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3C" w:rsidRPr="00C52E0A" w:rsidRDefault="00E60E94" w:rsidP="00CA506A">
      <w:pPr>
        <w:pStyle w:val="Heading1"/>
        <w:spacing w:before="0" w:line="240" w:lineRule="auto"/>
        <w:jc w:val="center"/>
        <w:rPr>
          <w:rFonts w:ascii="Calibri" w:hAnsi="Calibri"/>
        </w:rPr>
      </w:pPr>
      <w:r w:rsidRPr="00C52E0A">
        <w:rPr>
          <w:rFonts w:ascii="Calibri" w:hAnsi="Calibri"/>
        </w:rPr>
        <w:t>Public</w:t>
      </w:r>
      <w:r w:rsidR="00AD2092" w:rsidRPr="00C52E0A">
        <w:rPr>
          <w:rFonts w:ascii="Calibri" w:hAnsi="Calibri"/>
        </w:rPr>
        <w:t xml:space="preserve"> Call for </w:t>
      </w:r>
      <w:r w:rsidR="008A4527" w:rsidRPr="00C52E0A">
        <w:rPr>
          <w:rFonts w:ascii="Calibri" w:hAnsi="Calibri"/>
        </w:rPr>
        <w:t xml:space="preserve">Provision of Technical Assistance to Local Self-Governments in Capital Investment Planning and Programme Budgeting </w:t>
      </w:r>
    </w:p>
    <w:p w:rsidR="00A27CB8" w:rsidRPr="00C52E0A" w:rsidRDefault="00A27CB8" w:rsidP="00CA506A">
      <w:pPr>
        <w:spacing w:after="0" w:line="240" w:lineRule="auto"/>
        <w:jc w:val="both"/>
      </w:pPr>
    </w:p>
    <w:p w:rsidR="00A27CB8" w:rsidRPr="00C52E0A" w:rsidRDefault="00A27CB8" w:rsidP="00CA506A">
      <w:pPr>
        <w:pStyle w:val="Heading2"/>
        <w:numPr>
          <w:ilvl w:val="0"/>
          <w:numId w:val="1"/>
        </w:numPr>
        <w:spacing w:before="0" w:line="240" w:lineRule="auto"/>
        <w:jc w:val="both"/>
        <w:rPr>
          <w:rFonts w:ascii="Calibri" w:hAnsi="Calibri"/>
          <w:sz w:val="24"/>
          <w:szCs w:val="24"/>
        </w:rPr>
      </w:pPr>
      <w:r w:rsidRPr="00C52E0A">
        <w:rPr>
          <w:rFonts w:ascii="Calibri" w:hAnsi="Calibri"/>
          <w:sz w:val="24"/>
          <w:szCs w:val="24"/>
        </w:rPr>
        <w:t>Background</w:t>
      </w:r>
    </w:p>
    <w:p w:rsidR="00A65F75" w:rsidRPr="00C52E0A" w:rsidRDefault="00A65F75" w:rsidP="00CA506A">
      <w:pPr>
        <w:widowControl w:val="0"/>
        <w:spacing w:after="0" w:line="240" w:lineRule="auto"/>
        <w:jc w:val="both"/>
        <w:rPr>
          <w:rFonts w:eastAsia="Times New Roman" w:cs="Arial"/>
          <w:snapToGrid w:val="0"/>
        </w:rPr>
      </w:pPr>
      <w:r w:rsidRPr="00C52E0A">
        <w:rPr>
          <w:rFonts w:eastAsia="Times New Roman" w:cs="Arial"/>
          <w:snapToGrid w:val="0"/>
        </w:rPr>
        <w:t xml:space="preserve">European PROGRES is a multi-donor Programme, financed by the European Union (EU), the Government of Switzerland and the Government of Serbia, designed to support sustainable development in the South East and South West Serbia. The Programme has been conceptualised jointly with the European Integration Office of the Government of the Republic of Serbia (SEIO), which has responsibility for monitoring </w:t>
      </w:r>
      <w:r w:rsidR="00853FB1" w:rsidRPr="00C52E0A">
        <w:rPr>
          <w:rFonts w:eastAsia="Times New Roman" w:cs="Arial"/>
          <w:snapToGrid w:val="0"/>
        </w:rPr>
        <w:t xml:space="preserve">its </w:t>
      </w:r>
      <w:r w:rsidRPr="00C52E0A">
        <w:rPr>
          <w:rFonts w:eastAsia="Times New Roman" w:cs="Arial"/>
          <w:snapToGrid w:val="0"/>
        </w:rPr>
        <w:t xml:space="preserve">implementation and providing assistance and facilitation. The United Nations Office for Project Services (UNOPS) has been granted with an initial budget of 17.46 million Euros and has the overall responsibility for the Programme implementation. </w:t>
      </w:r>
    </w:p>
    <w:p w:rsidR="00A65F75" w:rsidRPr="00C52E0A" w:rsidRDefault="00A65F75" w:rsidP="00CA506A">
      <w:pPr>
        <w:widowControl w:val="0"/>
        <w:spacing w:after="0" w:line="240" w:lineRule="auto"/>
        <w:jc w:val="both"/>
        <w:rPr>
          <w:rFonts w:eastAsia="Times New Roman" w:cs="Arial"/>
          <w:snapToGrid w:val="0"/>
        </w:rPr>
      </w:pPr>
    </w:p>
    <w:p w:rsidR="00A65F75" w:rsidRPr="00C52E0A" w:rsidRDefault="00A65F75" w:rsidP="00CA506A">
      <w:pPr>
        <w:widowControl w:val="0"/>
        <w:spacing w:after="0" w:line="240" w:lineRule="auto"/>
        <w:jc w:val="both"/>
        <w:rPr>
          <w:rFonts w:eastAsia="Times New Roman" w:cs="Arial"/>
          <w:snapToGrid w:val="0"/>
        </w:rPr>
      </w:pPr>
      <w:r w:rsidRPr="00C52E0A">
        <w:rPr>
          <w:rFonts w:eastAsia="Times New Roman" w:cs="Arial"/>
          <w:snapToGrid w:val="0"/>
        </w:rPr>
        <w:t xml:space="preserve">Through a multi-sector approach this Programme will contribute to sustainable development of underdeveloped areas and creation of more favourable environment for infrastructure and business growth by strengthening local governance, improving vertical coordination, planning and management capacities, improving business environment and development, as well as enhancing implementation of social inclusion and employment policies. </w:t>
      </w:r>
    </w:p>
    <w:p w:rsidR="00A65F75" w:rsidRPr="00C52E0A" w:rsidRDefault="00A65F75" w:rsidP="00CA506A">
      <w:pPr>
        <w:widowControl w:val="0"/>
        <w:spacing w:after="0" w:line="240" w:lineRule="auto"/>
        <w:jc w:val="both"/>
        <w:rPr>
          <w:rFonts w:eastAsia="Times New Roman" w:cs="Arial"/>
          <w:snapToGrid w:val="0"/>
        </w:rPr>
      </w:pPr>
    </w:p>
    <w:p w:rsidR="00A65F75" w:rsidRPr="00C52E0A" w:rsidRDefault="00A65F75" w:rsidP="00CA506A">
      <w:pPr>
        <w:widowControl w:val="0"/>
        <w:spacing w:after="0" w:line="240" w:lineRule="auto"/>
        <w:jc w:val="both"/>
        <w:rPr>
          <w:rFonts w:eastAsia="Times New Roman" w:cs="Arial"/>
          <w:snapToGrid w:val="0"/>
        </w:rPr>
      </w:pPr>
      <w:r w:rsidRPr="00C52E0A">
        <w:rPr>
          <w:rFonts w:eastAsia="Times New Roman" w:cs="Arial"/>
          <w:snapToGrid w:val="0"/>
        </w:rPr>
        <w:t>The Programme works towards achieving four main results, while good governance principles are interwoven as a cross cutting aspect of the entire intervention:</w:t>
      </w:r>
    </w:p>
    <w:p w:rsidR="00A65F75" w:rsidRPr="00C52E0A" w:rsidRDefault="00A65F75" w:rsidP="00CA506A">
      <w:pPr>
        <w:widowControl w:val="0"/>
        <w:spacing w:after="0" w:line="240" w:lineRule="auto"/>
        <w:jc w:val="both"/>
        <w:rPr>
          <w:rFonts w:eastAsia="Times New Roman" w:cs="Arial"/>
          <w:snapToGrid w:val="0"/>
        </w:rPr>
      </w:pPr>
    </w:p>
    <w:p w:rsidR="00A65F75" w:rsidRPr="00C52E0A" w:rsidRDefault="00A65F75" w:rsidP="00CA506A">
      <w:pPr>
        <w:widowControl w:val="0"/>
        <w:spacing w:after="0" w:line="240" w:lineRule="auto"/>
        <w:ind w:left="709" w:hanging="709"/>
        <w:jc w:val="both"/>
        <w:rPr>
          <w:rFonts w:eastAsia="Times New Roman" w:cs="Arial"/>
          <w:snapToGrid w:val="0"/>
        </w:rPr>
      </w:pPr>
      <w:r w:rsidRPr="00C52E0A">
        <w:rPr>
          <w:rFonts w:eastAsia="Times New Roman" w:cs="Arial"/>
          <w:snapToGrid w:val="0"/>
        </w:rPr>
        <w:t>1.</w:t>
      </w:r>
      <w:r w:rsidRPr="00C52E0A">
        <w:rPr>
          <w:rFonts w:eastAsia="Times New Roman" w:cs="Arial"/>
          <w:snapToGrid w:val="0"/>
        </w:rPr>
        <w:tab/>
        <w:t xml:space="preserve">Strengthened local governance, planning and management capacities through introduction of new, </w:t>
      </w:r>
      <w:r w:rsidRPr="00C52E0A">
        <w:rPr>
          <w:rFonts w:eastAsia="Times New Roman" w:cs="Arial"/>
          <w:snapToGrid w:val="0"/>
        </w:rPr>
        <w:tab/>
        <w:t xml:space="preserve">or improvement/elimination of existing procedures and processes in line with the principles of </w:t>
      </w:r>
      <w:r w:rsidRPr="00C52E0A">
        <w:rPr>
          <w:rFonts w:eastAsia="Times New Roman" w:cs="Arial"/>
          <w:snapToGrid w:val="0"/>
        </w:rPr>
        <w:tab/>
        <w:t>good governance</w:t>
      </w:r>
    </w:p>
    <w:p w:rsidR="00A65F75" w:rsidRPr="00C52E0A" w:rsidRDefault="00A65F75" w:rsidP="00CA506A">
      <w:pPr>
        <w:widowControl w:val="0"/>
        <w:spacing w:after="0" w:line="240" w:lineRule="auto"/>
        <w:ind w:left="709" w:hanging="709"/>
        <w:jc w:val="both"/>
        <w:rPr>
          <w:rFonts w:eastAsia="Times New Roman" w:cs="Arial"/>
          <w:snapToGrid w:val="0"/>
        </w:rPr>
      </w:pPr>
      <w:r w:rsidRPr="00C52E0A">
        <w:rPr>
          <w:rFonts w:eastAsia="Times New Roman" w:cs="Arial"/>
          <w:snapToGrid w:val="0"/>
        </w:rPr>
        <w:t>2.</w:t>
      </w:r>
      <w:r w:rsidRPr="00C52E0A">
        <w:rPr>
          <w:rFonts w:eastAsia="Times New Roman" w:cs="Arial"/>
          <w:snapToGrid w:val="0"/>
        </w:rPr>
        <w:tab/>
        <w:t xml:space="preserve">Increased competitiveness of local economy through improved business environment and </w:t>
      </w:r>
      <w:r w:rsidRPr="00C52E0A">
        <w:rPr>
          <w:rFonts w:eastAsia="Times New Roman" w:cs="Arial"/>
          <w:snapToGrid w:val="0"/>
        </w:rPr>
        <w:tab/>
        <w:t xml:space="preserve">management/organizational capacities of small and medium enterprises/agricultural cooperatives </w:t>
      </w:r>
    </w:p>
    <w:p w:rsidR="00A65F75" w:rsidRPr="00C52E0A" w:rsidRDefault="00A65F75" w:rsidP="00CA506A">
      <w:pPr>
        <w:widowControl w:val="0"/>
        <w:spacing w:after="0" w:line="240" w:lineRule="auto"/>
        <w:ind w:left="709" w:hanging="709"/>
        <w:jc w:val="both"/>
        <w:rPr>
          <w:rFonts w:eastAsia="Times New Roman" w:cs="Arial"/>
          <w:snapToGrid w:val="0"/>
        </w:rPr>
      </w:pPr>
      <w:r w:rsidRPr="00C52E0A">
        <w:rPr>
          <w:rFonts w:eastAsia="Times New Roman" w:cs="Arial"/>
          <w:snapToGrid w:val="0"/>
        </w:rPr>
        <w:t>3.</w:t>
      </w:r>
      <w:r w:rsidRPr="00C52E0A">
        <w:rPr>
          <w:rFonts w:eastAsia="Times New Roman" w:cs="Arial"/>
          <w:snapToGrid w:val="0"/>
        </w:rPr>
        <w:tab/>
        <w:t xml:space="preserve">Improved access to employment, offering equal opportunities to both men and women, and social </w:t>
      </w:r>
      <w:r w:rsidRPr="00C52E0A">
        <w:rPr>
          <w:rFonts w:eastAsia="Times New Roman" w:cs="Arial"/>
          <w:snapToGrid w:val="0"/>
        </w:rPr>
        <w:tab/>
        <w:t xml:space="preserve">inclusion of the most vulnerable and marginalised groups through development and </w:t>
      </w:r>
      <w:r w:rsidRPr="00C52E0A">
        <w:rPr>
          <w:rFonts w:eastAsia="Times New Roman" w:cs="Arial"/>
          <w:snapToGrid w:val="0"/>
        </w:rPr>
        <w:tab/>
        <w:t xml:space="preserve">implementation of local policies resulting in reduced migration from South East and South </w:t>
      </w:r>
      <w:r w:rsidRPr="00C52E0A">
        <w:rPr>
          <w:rFonts w:eastAsia="Times New Roman" w:cs="Arial"/>
          <w:snapToGrid w:val="0"/>
        </w:rPr>
        <w:tab/>
        <w:t>West Serbia</w:t>
      </w:r>
    </w:p>
    <w:p w:rsidR="00A65F75" w:rsidRPr="00C52E0A" w:rsidRDefault="00A65F75" w:rsidP="00CA506A">
      <w:pPr>
        <w:widowControl w:val="0"/>
        <w:spacing w:after="0" w:line="240" w:lineRule="auto"/>
        <w:ind w:left="709" w:hanging="709"/>
        <w:jc w:val="both"/>
        <w:rPr>
          <w:rFonts w:eastAsia="Times New Roman" w:cs="Arial"/>
          <w:snapToGrid w:val="0"/>
        </w:rPr>
      </w:pPr>
      <w:r w:rsidRPr="00C52E0A">
        <w:rPr>
          <w:rFonts w:eastAsia="Times New Roman" w:cs="Arial"/>
          <w:snapToGrid w:val="0"/>
        </w:rPr>
        <w:t>4.</w:t>
      </w:r>
      <w:r w:rsidRPr="00C52E0A">
        <w:rPr>
          <w:rFonts w:eastAsia="Times New Roman" w:cs="Arial"/>
          <w:snapToGrid w:val="0"/>
        </w:rPr>
        <w:tab/>
        <w:t xml:space="preserve">Effects of Serbia’s European accession communicated to general public. </w:t>
      </w:r>
    </w:p>
    <w:p w:rsidR="00A65F75" w:rsidRPr="00C52E0A" w:rsidRDefault="00A65F75" w:rsidP="00CA506A">
      <w:pPr>
        <w:widowControl w:val="0"/>
        <w:spacing w:after="0" w:line="240" w:lineRule="auto"/>
        <w:jc w:val="both"/>
        <w:rPr>
          <w:rFonts w:eastAsia="Times New Roman" w:cs="Arial"/>
          <w:snapToGrid w:val="0"/>
        </w:rPr>
      </w:pPr>
    </w:p>
    <w:p w:rsidR="00A65F75" w:rsidRPr="00C52E0A" w:rsidRDefault="00A65F75" w:rsidP="00CA506A">
      <w:pPr>
        <w:widowControl w:val="0"/>
        <w:spacing w:after="0" w:line="240" w:lineRule="auto"/>
        <w:jc w:val="both"/>
        <w:rPr>
          <w:rFonts w:eastAsia="Times New Roman" w:cs="Arial"/>
          <w:snapToGrid w:val="0"/>
        </w:rPr>
      </w:pPr>
      <w:r w:rsidRPr="00C52E0A">
        <w:rPr>
          <w:rFonts w:eastAsia="Times New Roman" w:cs="Arial"/>
          <w:snapToGrid w:val="0"/>
        </w:rPr>
        <w:t xml:space="preserve">The final beneficiaries, but also the key stakeholders and financial contributors of this Programme are 34 </w:t>
      </w:r>
      <w:r w:rsidR="00E60E94" w:rsidRPr="00C52E0A">
        <w:rPr>
          <w:rFonts w:eastAsia="Times New Roman" w:cs="Arial"/>
          <w:snapToGrid w:val="0"/>
        </w:rPr>
        <w:t>local governments</w:t>
      </w:r>
      <w:r w:rsidRPr="00C52E0A">
        <w:rPr>
          <w:rFonts w:eastAsia="Times New Roman" w:cs="Arial"/>
          <w:snapToGrid w:val="0"/>
        </w:rPr>
        <w:t xml:space="preserve"> from the third and fourth group of development level, which have responsibility of taking ownership of activities implemented in their territory:</w:t>
      </w:r>
    </w:p>
    <w:p w:rsidR="00A65F75" w:rsidRPr="00C52E0A" w:rsidRDefault="00A65F75" w:rsidP="00CA506A">
      <w:pPr>
        <w:widowControl w:val="0"/>
        <w:spacing w:after="0" w:line="240" w:lineRule="auto"/>
        <w:jc w:val="both"/>
        <w:rPr>
          <w:rFonts w:eastAsia="Times New Roman" w:cs="Arial"/>
          <w:snapToGrid w:val="0"/>
        </w:rPr>
      </w:pPr>
    </w:p>
    <w:p w:rsidR="00F63E15" w:rsidRPr="00C52E0A" w:rsidRDefault="00F63E15" w:rsidP="00CA506A">
      <w:pPr>
        <w:widowControl w:val="0"/>
        <w:numPr>
          <w:ilvl w:val="0"/>
          <w:numId w:val="2"/>
        </w:numPr>
        <w:spacing w:after="0" w:line="240" w:lineRule="auto"/>
        <w:jc w:val="both"/>
        <w:rPr>
          <w:rFonts w:eastAsia="Times New Roman" w:cs="Arial"/>
          <w:snapToGrid w:val="0"/>
        </w:rPr>
      </w:pPr>
      <w:r w:rsidRPr="00C52E0A">
        <w:rPr>
          <w:rFonts w:eastAsia="Times New Roman" w:cs="Arial"/>
          <w:snapToGrid w:val="0"/>
        </w:rPr>
        <w:t xml:space="preserve">Novi Pazar, </w:t>
      </w:r>
      <w:proofErr w:type="spellStart"/>
      <w:r w:rsidRPr="00C52E0A">
        <w:rPr>
          <w:rFonts w:eastAsia="Times New Roman" w:cs="Arial"/>
          <w:snapToGrid w:val="0"/>
        </w:rPr>
        <w:t>Raška</w:t>
      </w:r>
      <w:proofErr w:type="spellEnd"/>
      <w:r w:rsidRPr="00C52E0A">
        <w:rPr>
          <w:rFonts w:eastAsia="Times New Roman" w:cs="Arial"/>
          <w:snapToGrid w:val="0"/>
        </w:rPr>
        <w:t xml:space="preserve">, and </w:t>
      </w:r>
      <w:proofErr w:type="spellStart"/>
      <w:r w:rsidRPr="00C52E0A">
        <w:rPr>
          <w:rFonts w:eastAsia="Times New Roman" w:cs="Arial"/>
          <w:snapToGrid w:val="0"/>
        </w:rPr>
        <w:t>Tutin</w:t>
      </w:r>
      <w:proofErr w:type="spellEnd"/>
      <w:r w:rsidRPr="00C52E0A">
        <w:rPr>
          <w:rFonts w:eastAsia="Times New Roman" w:cs="Arial"/>
          <w:snapToGrid w:val="0"/>
        </w:rPr>
        <w:t xml:space="preserve"> in the </w:t>
      </w:r>
      <w:proofErr w:type="spellStart"/>
      <w:r w:rsidRPr="00C52E0A">
        <w:rPr>
          <w:rFonts w:eastAsia="Times New Roman" w:cs="Arial"/>
          <w:snapToGrid w:val="0"/>
        </w:rPr>
        <w:t>Raška</w:t>
      </w:r>
      <w:proofErr w:type="spellEnd"/>
      <w:r w:rsidRPr="00C52E0A">
        <w:rPr>
          <w:rFonts w:eastAsia="Times New Roman" w:cs="Arial"/>
          <w:snapToGrid w:val="0"/>
        </w:rPr>
        <w:t xml:space="preserve"> District</w:t>
      </w:r>
    </w:p>
    <w:p w:rsidR="00F63E15" w:rsidRPr="00C52E0A" w:rsidRDefault="00F63E15" w:rsidP="00CA506A">
      <w:pPr>
        <w:widowControl w:val="0"/>
        <w:numPr>
          <w:ilvl w:val="0"/>
          <w:numId w:val="2"/>
        </w:numPr>
        <w:spacing w:after="0" w:line="240" w:lineRule="auto"/>
        <w:jc w:val="both"/>
        <w:rPr>
          <w:rFonts w:eastAsia="Times New Roman" w:cs="Arial"/>
          <w:snapToGrid w:val="0"/>
        </w:rPr>
      </w:pPr>
      <w:r w:rsidRPr="00C52E0A">
        <w:rPr>
          <w:rFonts w:eastAsia="Times New Roman" w:cs="Arial"/>
          <w:snapToGrid w:val="0"/>
        </w:rPr>
        <w:t xml:space="preserve">Nova </w:t>
      </w:r>
      <w:proofErr w:type="spellStart"/>
      <w:r w:rsidRPr="00C52E0A">
        <w:rPr>
          <w:rFonts w:eastAsia="Times New Roman" w:cs="Arial"/>
          <w:snapToGrid w:val="0"/>
        </w:rPr>
        <w:t>Varoš</w:t>
      </w:r>
      <w:proofErr w:type="spellEnd"/>
      <w:r w:rsidRPr="00C52E0A">
        <w:rPr>
          <w:rFonts w:eastAsia="Times New Roman" w:cs="Arial"/>
          <w:snapToGrid w:val="0"/>
        </w:rPr>
        <w:t xml:space="preserve">, </w:t>
      </w:r>
      <w:proofErr w:type="spellStart"/>
      <w:r w:rsidRPr="00C52E0A">
        <w:rPr>
          <w:rFonts w:eastAsia="Times New Roman" w:cs="Arial"/>
          <w:snapToGrid w:val="0"/>
        </w:rPr>
        <w:t>Priboj</w:t>
      </w:r>
      <w:proofErr w:type="spellEnd"/>
      <w:r w:rsidRPr="00C52E0A">
        <w:rPr>
          <w:rFonts w:eastAsia="Times New Roman" w:cs="Arial"/>
          <w:snapToGrid w:val="0"/>
        </w:rPr>
        <w:t xml:space="preserve">, </w:t>
      </w:r>
      <w:proofErr w:type="spellStart"/>
      <w:r w:rsidRPr="00C52E0A">
        <w:rPr>
          <w:rFonts w:eastAsia="Times New Roman" w:cs="Arial"/>
          <w:snapToGrid w:val="0"/>
        </w:rPr>
        <w:t>Prijepolje</w:t>
      </w:r>
      <w:proofErr w:type="spellEnd"/>
      <w:r w:rsidRPr="00C52E0A">
        <w:rPr>
          <w:rFonts w:eastAsia="Times New Roman" w:cs="Arial"/>
          <w:snapToGrid w:val="0"/>
        </w:rPr>
        <w:t xml:space="preserve">, </w:t>
      </w:r>
      <w:proofErr w:type="spellStart"/>
      <w:r w:rsidRPr="00C52E0A">
        <w:rPr>
          <w:rFonts w:eastAsia="Times New Roman" w:cs="Arial"/>
          <w:snapToGrid w:val="0"/>
        </w:rPr>
        <w:t>Sjenica</w:t>
      </w:r>
      <w:proofErr w:type="spellEnd"/>
      <w:r w:rsidRPr="00C52E0A">
        <w:rPr>
          <w:rFonts w:eastAsia="Times New Roman" w:cs="Arial"/>
          <w:snapToGrid w:val="0"/>
        </w:rPr>
        <w:t xml:space="preserve"> in the </w:t>
      </w:r>
      <w:proofErr w:type="spellStart"/>
      <w:r w:rsidRPr="00C52E0A">
        <w:rPr>
          <w:rFonts w:eastAsia="Times New Roman" w:cs="Arial"/>
          <w:snapToGrid w:val="0"/>
        </w:rPr>
        <w:t>Zlatibor</w:t>
      </w:r>
      <w:proofErr w:type="spellEnd"/>
      <w:r w:rsidRPr="00C52E0A">
        <w:rPr>
          <w:rFonts w:eastAsia="Times New Roman" w:cs="Arial"/>
          <w:snapToGrid w:val="0"/>
        </w:rPr>
        <w:t xml:space="preserve"> District</w:t>
      </w:r>
    </w:p>
    <w:p w:rsidR="00F63E15" w:rsidRPr="00C52E0A" w:rsidRDefault="00F63E15" w:rsidP="00CA506A">
      <w:pPr>
        <w:widowControl w:val="0"/>
        <w:numPr>
          <w:ilvl w:val="0"/>
          <w:numId w:val="2"/>
        </w:numPr>
        <w:spacing w:after="0" w:line="240" w:lineRule="auto"/>
        <w:jc w:val="both"/>
        <w:rPr>
          <w:rFonts w:eastAsia="Times New Roman" w:cs="Arial"/>
          <w:snapToGrid w:val="0"/>
        </w:rPr>
      </w:pPr>
      <w:proofErr w:type="spellStart"/>
      <w:r w:rsidRPr="00C52E0A">
        <w:rPr>
          <w:rFonts w:eastAsia="Times New Roman" w:cs="Arial"/>
          <w:snapToGrid w:val="0"/>
        </w:rPr>
        <w:t>Ivanjica</w:t>
      </w:r>
      <w:proofErr w:type="spellEnd"/>
      <w:r w:rsidRPr="00C52E0A">
        <w:rPr>
          <w:rFonts w:eastAsia="Times New Roman" w:cs="Arial"/>
          <w:snapToGrid w:val="0"/>
        </w:rPr>
        <w:t xml:space="preserve"> in the </w:t>
      </w:r>
      <w:proofErr w:type="spellStart"/>
      <w:r w:rsidRPr="00C52E0A">
        <w:rPr>
          <w:rFonts w:eastAsia="Times New Roman" w:cs="Arial"/>
          <w:snapToGrid w:val="0"/>
        </w:rPr>
        <w:t>Moravica</w:t>
      </w:r>
      <w:proofErr w:type="spellEnd"/>
      <w:r w:rsidRPr="00C52E0A">
        <w:rPr>
          <w:rFonts w:eastAsia="Times New Roman" w:cs="Arial"/>
          <w:snapToGrid w:val="0"/>
        </w:rPr>
        <w:t xml:space="preserve"> District</w:t>
      </w:r>
    </w:p>
    <w:p w:rsidR="00F63E15" w:rsidRPr="00C52E0A" w:rsidRDefault="00F63E15" w:rsidP="00CA506A">
      <w:pPr>
        <w:widowControl w:val="0"/>
        <w:numPr>
          <w:ilvl w:val="0"/>
          <w:numId w:val="2"/>
        </w:numPr>
        <w:spacing w:after="0" w:line="240" w:lineRule="auto"/>
        <w:jc w:val="both"/>
        <w:rPr>
          <w:rFonts w:eastAsia="Times New Roman" w:cs="Arial"/>
          <w:snapToGrid w:val="0"/>
        </w:rPr>
      </w:pPr>
      <w:r w:rsidRPr="00C52E0A">
        <w:rPr>
          <w:rFonts w:eastAsia="Times New Roman" w:cs="Arial"/>
          <w:snapToGrid w:val="0"/>
        </w:rPr>
        <w:t xml:space="preserve">Prokuplje, </w:t>
      </w:r>
      <w:proofErr w:type="spellStart"/>
      <w:r w:rsidRPr="00C52E0A">
        <w:rPr>
          <w:rFonts w:eastAsia="Times New Roman" w:cs="Arial"/>
          <w:snapToGrid w:val="0"/>
        </w:rPr>
        <w:t>Blace</w:t>
      </w:r>
      <w:proofErr w:type="spellEnd"/>
      <w:r w:rsidRPr="00C52E0A">
        <w:rPr>
          <w:rFonts w:eastAsia="Times New Roman" w:cs="Arial"/>
          <w:snapToGrid w:val="0"/>
        </w:rPr>
        <w:t xml:space="preserve">, </w:t>
      </w:r>
      <w:proofErr w:type="spellStart"/>
      <w:r w:rsidRPr="00C52E0A">
        <w:rPr>
          <w:rFonts w:eastAsia="Times New Roman" w:cs="Arial"/>
          <w:snapToGrid w:val="0"/>
        </w:rPr>
        <w:t>Žitorađa</w:t>
      </w:r>
      <w:proofErr w:type="spellEnd"/>
      <w:r w:rsidRPr="00C52E0A">
        <w:rPr>
          <w:rFonts w:eastAsia="Times New Roman" w:cs="Arial"/>
          <w:snapToGrid w:val="0"/>
        </w:rPr>
        <w:t xml:space="preserve">, </w:t>
      </w:r>
      <w:proofErr w:type="spellStart"/>
      <w:r w:rsidRPr="00C52E0A">
        <w:rPr>
          <w:rFonts w:eastAsia="Times New Roman" w:cs="Arial"/>
          <w:snapToGrid w:val="0"/>
        </w:rPr>
        <w:t>Kuršumlija</w:t>
      </w:r>
      <w:proofErr w:type="spellEnd"/>
      <w:r w:rsidRPr="00C52E0A">
        <w:rPr>
          <w:rFonts w:eastAsia="Times New Roman" w:cs="Arial"/>
          <w:snapToGrid w:val="0"/>
        </w:rPr>
        <w:t xml:space="preserve"> in the </w:t>
      </w:r>
      <w:proofErr w:type="spellStart"/>
      <w:r w:rsidRPr="00C52E0A">
        <w:rPr>
          <w:rFonts w:eastAsia="Times New Roman" w:cs="Arial"/>
          <w:snapToGrid w:val="0"/>
        </w:rPr>
        <w:t>Toplica</w:t>
      </w:r>
      <w:proofErr w:type="spellEnd"/>
      <w:r w:rsidRPr="00C52E0A">
        <w:rPr>
          <w:rFonts w:eastAsia="Times New Roman" w:cs="Arial"/>
          <w:snapToGrid w:val="0"/>
        </w:rPr>
        <w:t xml:space="preserve"> District</w:t>
      </w:r>
    </w:p>
    <w:p w:rsidR="00F63E15" w:rsidRPr="00C52E0A" w:rsidRDefault="00F63E15" w:rsidP="00CA506A">
      <w:pPr>
        <w:widowControl w:val="0"/>
        <w:numPr>
          <w:ilvl w:val="0"/>
          <w:numId w:val="2"/>
        </w:numPr>
        <w:spacing w:after="0" w:line="240" w:lineRule="auto"/>
        <w:jc w:val="both"/>
        <w:rPr>
          <w:rFonts w:eastAsia="Times New Roman" w:cs="Arial"/>
          <w:snapToGrid w:val="0"/>
        </w:rPr>
      </w:pPr>
      <w:r w:rsidRPr="00C52E0A">
        <w:rPr>
          <w:rFonts w:eastAsia="Times New Roman" w:cs="Arial"/>
          <w:snapToGrid w:val="0"/>
        </w:rPr>
        <w:t xml:space="preserve">Leskovac, </w:t>
      </w:r>
      <w:proofErr w:type="spellStart"/>
      <w:r w:rsidRPr="00C52E0A">
        <w:rPr>
          <w:rFonts w:eastAsia="Times New Roman" w:cs="Arial"/>
          <w:snapToGrid w:val="0"/>
        </w:rPr>
        <w:t>Bojnik</w:t>
      </w:r>
      <w:proofErr w:type="spellEnd"/>
      <w:r w:rsidRPr="00C52E0A">
        <w:rPr>
          <w:rFonts w:eastAsia="Times New Roman" w:cs="Arial"/>
          <w:snapToGrid w:val="0"/>
        </w:rPr>
        <w:t xml:space="preserve">, Vlasotince, Lebane, </w:t>
      </w:r>
      <w:proofErr w:type="spellStart"/>
      <w:r w:rsidRPr="00C52E0A">
        <w:rPr>
          <w:rFonts w:eastAsia="Times New Roman" w:cs="Arial"/>
          <w:snapToGrid w:val="0"/>
        </w:rPr>
        <w:t>Medveđa</w:t>
      </w:r>
      <w:proofErr w:type="spellEnd"/>
      <w:r w:rsidRPr="00C52E0A">
        <w:rPr>
          <w:rFonts w:eastAsia="Times New Roman" w:cs="Arial"/>
          <w:snapToGrid w:val="0"/>
        </w:rPr>
        <w:t xml:space="preserve"> and Crna Trava in the Jablanica District</w:t>
      </w:r>
    </w:p>
    <w:p w:rsidR="00F63E15" w:rsidRPr="00C52E0A" w:rsidRDefault="00F63E15" w:rsidP="00CA506A">
      <w:pPr>
        <w:widowControl w:val="0"/>
        <w:numPr>
          <w:ilvl w:val="0"/>
          <w:numId w:val="2"/>
        </w:numPr>
        <w:spacing w:after="0" w:line="240" w:lineRule="auto"/>
        <w:jc w:val="both"/>
        <w:rPr>
          <w:rFonts w:eastAsia="Times New Roman" w:cs="Arial"/>
          <w:snapToGrid w:val="0"/>
        </w:rPr>
      </w:pPr>
      <w:r w:rsidRPr="00C52E0A">
        <w:rPr>
          <w:rFonts w:eastAsia="Times New Roman" w:cs="Arial"/>
          <w:snapToGrid w:val="0"/>
        </w:rPr>
        <w:t xml:space="preserve">Vranje, </w:t>
      </w:r>
      <w:proofErr w:type="spellStart"/>
      <w:r w:rsidRPr="00C52E0A">
        <w:rPr>
          <w:rFonts w:eastAsia="Times New Roman" w:cs="Arial"/>
          <w:snapToGrid w:val="0"/>
        </w:rPr>
        <w:t>Bosilegrad</w:t>
      </w:r>
      <w:proofErr w:type="spellEnd"/>
      <w:r w:rsidRPr="00C52E0A">
        <w:rPr>
          <w:rFonts w:eastAsia="Times New Roman" w:cs="Arial"/>
          <w:snapToGrid w:val="0"/>
        </w:rPr>
        <w:t xml:space="preserve">, Bujanovac, </w:t>
      </w:r>
      <w:proofErr w:type="spellStart"/>
      <w:r w:rsidRPr="00C52E0A">
        <w:rPr>
          <w:rFonts w:eastAsia="Times New Roman" w:cs="Arial"/>
          <w:snapToGrid w:val="0"/>
        </w:rPr>
        <w:t>Vladičin</w:t>
      </w:r>
      <w:proofErr w:type="spellEnd"/>
      <w:r w:rsidRPr="00C52E0A">
        <w:rPr>
          <w:rFonts w:eastAsia="Times New Roman" w:cs="Arial"/>
          <w:snapToGrid w:val="0"/>
        </w:rPr>
        <w:t xml:space="preserve"> Han, </w:t>
      </w:r>
      <w:proofErr w:type="spellStart"/>
      <w:r w:rsidRPr="00C52E0A">
        <w:rPr>
          <w:rFonts w:eastAsia="Times New Roman" w:cs="Arial"/>
          <w:snapToGrid w:val="0"/>
        </w:rPr>
        <w:t>Preševo</w:t>
      </w:r>
      <w:proofErr w:type="spellEnd"/>
      <w:r w:rsidRPr="00C52E0A">
        <w:rPr>
          <w:rFonts w:eastAsia="Times New Roman" w:cs="Arial"/>
          <w:snapToGrid w:val="0"/>
        </w:rPr>
        <w:t xml:space="preserve">, </w:t>
      </w:r>
      <w:proofErr w:type="spellStart"/>
      <w:r w:rsidRPr="00C52E0A">
        <w:rPr>
          <w:rFonts w:eastAsia="Times New Roman" w:cs="Arial"/>
          <w:snapToGrid w:val="0"/>
        </w:rPr>
        <w:t>Surdulica</w:t>
      </w:r>
      <w:proofErr w:type="spellEnd"/>
      <w:r w:rsidRPr="00C52E0A">
        <w:rPr>
          <w:rFonts w:eastAsia="Times New Roman" w:cs="Arial"/>
          <w:snapToGrid w:val="0"/>
        </w:rPr>
        <w:t xml:space="preserve"> and </w:t>
      </w:r>
      <w:proofErr w:type="spellStart"/>
      <w:r w:rsidRPr="00C52E0A">
        <w:rPr>
          <w:rFonts w:eastAsia="Times New Roman" w:cs="Arial"/>
          <w:snapToGrid w:val="0"/>
        </w:rPr>
        <w:t>Trgovište</w:t>
      </w:r>
      <w:proofErr w:type="spellEnd"/>
      <w:r w:rsidRPr="00C52E0A">
        <w:rPr>
          <w:rFonts w:eastAsia="Times New Roman" w:cs="Arial"/>
          <w:snapToGrid w:val="0"/>
        </w:rPr>
        <w:t xml:space="preserve"> in the Pčinja District</w:t>
      </w:r>
    </w:p>
    <w:p w:rsidR="00F63E15" w:rsidRPr="00C52E0A" w:rsidRDefault="00F63E15" w:rsidP="00CA506A">
      <w:pPr>
        <w:widowControl w:val="0"/>
        <w:numPr>
          <w:ilvl w:val="0"/>
          <w:numId w:val="2"/>
        </w:numPr>
        <w:spacing w:after="0" w:line="240" w:lineRule="auto"/>
        <w:jc w:val="both"/>
        <w:rPr>
          <w:rFonts w:eastAsia="Times New Roman" w:cs="Arial"/>
          <w:snapToGrid w:val="0"/>
        </w:rPr>
      </w:pPr>
      <w:proofErr w:type="spellStart"/>
      <w:r w:rsidRPr="00C52E0A">
        <w:rPr>
          <w:rFonts w:eastAsia="Times New Roman" w:cs="Arial"/>
          <w:snapToGrid w:val="0"/>
        </w:rPr>
        <w:t>Brus</w:t>
      </w:r>
      <w:proofErr w:type="spellEnd"/>
      <w:r w:rsidRPr="00C52E0A">
        <w:rPr>
          <w:rFonts w:eastAsia="Times New Roman" w:cs="Arial"/>
          <w:snapToGrid w:val="0"/>
        </w:rPr>
        <w:t xml:space="preserve"> in the </w:t>
      </w:r>
      <w:proofErr w:type="spellStart"/>
      <w:r w:rsidRPr="00C52E0A">
        <w:rPr>
          <w:rFonts w:eastAsia="Times New Roman" w:cs="Arial"/>
          <w:snapToGrid w:val="0"/>
        </w:rPr>
        <w:t>Rasin</w:t>
      </w:r>
      <w:r w:rsidR="008A4527" w:rsidRPr="00C52E0A">
        <w:rPr>
          <w:rFonts w:eastAsia="Times New Roman" w:cs="Arial"/>
          <w:snapToGrid w:val="0"/>
        </w:rPr>
        <w:t>a</w:t>
      </w:r>
      <w:proofErr w:type="spellEnd"/>
      <w:r w:rsidRPr="00C52E0A">
        <w:rPr>
          <w:rFonts w:eastAsia="Times New Roman" w:cs="Arial"/>
          <w:snapToGrid w:val="0"/>
        </w:rPr>
        <w:t xml:space="preserve"> District</w:t>
      </w:r>
    </w:p>
    <w:p w:rsidR="00F63E15" w:rsidRPr="00C52E0A" w:rsidRDefault="00F63E15" w:rsidP="00CA506A">
      <w:pPr>
        <w:widowControl w:val="0"/>
        <w:numPr>
          <w:ilvl w:val="0"/>
          <w:numId w:val="2"/>
        </w:numPr>
        <w:spacing w:after="0" w:line="240" w:lineRule="auto"/>
        <w:jc w:val="both"/>
        <w:rPr>
          <w:rFonts w:eastAsia="Times New Roman" w:cs="Arial"/>
          <w:snapToGrid w:val="0"/>
        </w:rPr>
      </w:pPr>
      <w:r w:rsidRPr="00C52E0A">
        <w:rPr>
          <w:rFonts w:eastAsia="Times New Roman" w:cs="Arial"/>
          <w:snapToGrid w:val="0"/>
        </w:rPr>
        <w:t xml:space="preserve">Aleksinac, </w:t>
      </w:r>
      <w:proofErr w:type="spellStart"/>
      <w:r w:rsidRPr="00C52E0A">
        <w:rPr>
          <w:rFonts w:eastAsia="Times New Roman" w:cs="Arial"/>
          <w:snapToGrid w:val="0"/>
        </w:rPr>
        <w:t>Gadžin</w:t>
      </w:r>
      <w:proofErr w:type="spellEnd"/>
      <w:r w:rsidRPr="00C52E0A">
        <w:rPr>
          <w:rFonts w:eastAsia="Times New Roman" w:cs="Arial"/>
          <w:snapToGrid w:val="0"/>
        </w:rPr>
        <w:t xml:space="preserve"> Han, </w:t>
      </w:r>
      <w:proofErr w:type="spellStart"/>
      <w:r w:rsidRPr="00C52E0A">
        <w:rPr>
          <w:rFonts w:eastAsia="Times New Roman" w:cs="Arial"/>
          <w:snapToGrid w:val="0"/>
        </w:rPr>
        <w:t>Doljevac</w:t>
      </w:r>
      <w:proofErr w:type="spellEnd"/>
      <w:r w:rsidRPr="00C52E0A">
        <w:rPr>
          <w:rFonts w:eastAsia="Times New Roman" w:cs="Arial"/>
          <w:snapToGrid w:val="0"/>
        </w:rPr>
        <w:t xml:space="preserve">, </w:t>
      </w:r>
      <w:proofErr w:type="spellStart"/>
      <w:r w:rsidRPr="00C52E0A">
        <w:rPr>
          <w:rFonts w:eastAsia="Times New Roman" w:cs="Arial"/>
          <w:snapToGrid w:val="0"/>
        </w:rPr>
        <w:t>Merošina</w:t>
      </w:r>
      <w:proofErr w:type="spellEnd"/>
      <w:r w:rsidRPr="00C52E0A">
        <w:rPr>
          <w:rFonts w:eastAsia="Times New Roman" w:cs="Arial"/>
          <w:snapToGrid w:val="0"/>
        </w:rPr>
        <w:t xml:space="preserve"> and </w:t>
      </w:r>
      <w:proofErr w:type="spellStart"/>
      <w:r w:rsidRPr="00C52E0A">
        <w:rPr>
          <w:rFonts w:eastAsia="Times New Roman" w:cs="Arial"/>
          <w:snapToGrid w:val="0"/>
        </w:rPr>
        <w:t>Sv</w:t>
      </w:r>
      <w:bookmarkStart w:id="0" w:name="_GoBack"/>
      <w:bookmarkEnd w:id="0"/>
      <w:r w:rsidRPr="00C52E0A">
        <w:rPr>
          <w:rFonts w:eastAsia="Times New Roman" w:cs="Arial"/>
          <w:snapToGrid w:val="0"/>
        </w:rPr>
        <w:t>rljig</w:t>
      </w:r>
      <w:proofErr w:type="spellEnd"/>
      <w:r w:rsidRPr="00C52E0A">
        <w:rPr>
          <w:rFonts w:eastAsia="Times New Roman" w:cs="Arial"/>
          <w:snapToGrid w:val="0"/>
        </w:rPr>
        <w:t xml:space="preserve"> in the </w:t>
      </w:r>
      <w:proofErr w:type="spellStart"/>
      <w:r w:rsidRPr="00C52E0A">
        <w:rPr>
          <w:rFonts w:eastAsia="Times New Roman" w:cs="Arial"/>
          <w:snapToGrid w:val="0"/>
        </w:rPr>
        <w:t>Niš</w:t>
      </w:r>
      <w:r w:rsidR="008A4527" w:rsidRPr="00C52E0A">
        <w:rPr>
          <w:rFonts w:eastAsia="Times New Roman" w:cs="Arial"/>
          <w:snapToGrid w:val="0"/>
        </w:rPr>
        <w:t>ava</w:t>
      </w:r>
      <w:proofErr w:type="spellEnd"/>
      <w:r w:rsidRPr="00C52E0A">
        <w:rPr>
          <w:rFonts w:eastAsia="Times New Roman" w:cs="Arial"/>
          <w:snapToGrid w:val="0"/>
        </w:rPr>
        <w:t xml:space="preserve"> District</w:t>
      </w:r>
    </w:p>
    <w:p w:rsidR="00F63E15" w:rsidRPr="00C52E0A" w:rsidRDefault="00F63E15" w:rsidP="00CA506A">
      <w:pPr>
        <w:widowControl w:val="0"/>
        <w:numPr>
          <w:ilvl w:val="0"/>
          <w:numId w:val="2"/>
        </w:numPr>
        <w:spacing w:after="0" w:line="240" w:lineRule="auto"/>
        <w:jc w:val="both"/>
        <w:rPr>
          <w:rFonts w:eastAsia="Times New Roman" w:cs="Arial"/>
          <w:snapToGrid w:val="0"/>
        </w:rPr>
      </w:pPr>
      <w:proofErr w:type="spellStart"/>
      <w:r w:rsidRPr="00C52E0A">
        <w:rPr>
          <w:rFonts w:eastAsia="Times New Roman" w:cs="Arial"/>
          <w:snapToGrid w:val="0"/>
        </w:rPr>
        <w:lastRenderedPageBreak/>
        <w:t>Babušnica</w:t>
      </w:r>
      <w:proofErr w:type="spellEnd"/>
      <w:r w:rsidRPr="00C52E0A">
        <w:rPr>
          <w:rFonts w:eastAsia="Times New Roman" w:cs="Arial"/>
          <w:snapToGrid w:val="0"/>
        </w:rPr>
        <w:t xml:space="preserve">, </w:t>
      </w:r>
      <w:proofErr w:type="spellStart"/>
      <w:r w:rsidRPr="00C52E0A">
        <w:rPr>
          <w:rFonts w:eastAsia="Times New Roman" w:cs="Arial"/>
          <w:snapToGrid w:val="0"/>
        </w:rPr>
        <w:t>Bela</w:t>
      </w:r>
      <w:proofErr w:type="spellEnd"/>
      <w:r w:rsidRPr="00C52E0A">
        <w:rPr>
          <w:rFonts w:eastAsia="Times New Roman" w:cs="Arial"/>
          <w:snapToGrid w:val="0"/>
        </w:rPr>
        <w:t xml:space="preserve"> </w:t>
      </w:r>
      <w:proofErr w:type="spellStart"/>
      <w:r w:rsidRPr="00C52E0A">
        <w:rPr>
          <w:rFonts w:eastAsia="Times New Roman" w:cs="Arial"/>
          <w:snapToGrid w:val="0"/>
        </w:rPr>
        <w:t>Palanka</w:t>
      </w:r>
      <w:proofErr w:type="spellEnd"/>
      <w:r w:rsidRPr="00C52E0A">
        <w:rPr>
          <w:rFonts w:eastAsia="Times New Roman" w:cs="Arial"/>
          <w:snapToGrid w:val="0"/>
        </w:rPr>
        <w:t xml:space="preserve"> in the </w:t>
      </w:r>
      <w:proofErr w:type="spellStart"/>
      <w:r w:rsidRPr="00C52E0A">
        <w:rPr>
          <w:rFonts w:eastAsia="Times New Roman" w:cs="Arial"/>
          <w:snapToGrid w:val="0"/>
        </w:rPr>
        <w:t>Pirot</w:t>
      </w:r>
      <w:proofErr w:type="spellEnd"/>
      <w:r w:rsidRPr="00C52E0A">
        <w:rPr>
          <w:rFonts w:eastAsia="Times New Roman" w:cs="Arial"/>
          <w:snapToGrid w:val="0"/>
        </w:rPr>
        <w:t xml:space="preserve"> District</w:t>
      </w:r>
    </w:p>
    <w:p w:rsidR="00F63E15" w:rsidRPr="00C52E0A" w:rsidRDefault="00F63E15" w:rsidP="00CA506A">
      <w:pPr>
        <w:widowControl w:val="0"/>
        <w:numPr>
          <w:ilvl w:val="0"/>
          <w:numId w:val="2"/>
        </w:numPr>
        <w:spacing w:after="0" w:line="240" w:lineRule="auto"/>
        <w:jc w:val="both"/>
        <w:rPr>
          <w:rFonts w:eastAsia="Times New Roman" w:cs="Arial"/>
          <w:snapToGrid w:val="0"/>
        </w:rPr>
      </w:pPr>
      <w:proofErr w:type="spellStart"/>
      <w:r w:rsidRPr="00C52E0A">
        <w:rPr>
          <w:rFonts w:eastAsia="Times New Roman" w:cs="Arial"/>
          <w:snapToGrid w:val="0"/>
        </w:rPr>
        <w:t>Knjaževac</w:t>
      </w:r>
      <w:proofErr w:type="spellEnd"/>
      <w:r w:rsidRPr="00C52E0A">
        <w:rPr>
          <w:rFonts w:eastAsia="Times New Roman" w:cs="Arial"/>
          <w:snapToGrid w:val="0"/>
        </w:rPr>
        <w:t xml:space="preserve"> in the </w:t>
      </w:r>
      <w:proofErr w:type="spellStart"/>
      <w:r w:rsidRPr="00C52E0A">
        <w:rPr>
          <w:rFonts w:eastAsia="Times New Roman" w:cs="Arial"/>
          <w:snapToGrid w:val="0"/>
        </w:rPr>
        <w:t>Zaječar</w:t>
      </w:r>
      <w:proofErr w:type="spellEnd"/>
      <w:r w:rsidRPr="00C52E0A">
        <w:rPr>
          <w:rFonts w:eastAsia="Times New Roman" w:cs="Arial"/>
          <w:snapToGrid w:val="0"/>
        </w:rPr>
        <w:t xml:space="preserve"> District.</w:t>
      </w:r>
    </w:p>
    <w:p w:rsidR="00A65F75" w:rsidRPr="00C52E0A" w:rsidRDefault="00A65F75" w:rsidP="00CA506A">
      <w:pPr>
        <w:widowControl w:val="0"/>
        <w:spacing w:after="0" w:line="240" w:lineRule="auto"/>
        <w:jc w:val="both"/>
        <w:rPr>
          <w:rFonts w:eastAsia="Times New Roman" w:cs="Arial"/>
          <w:snapToGrid w:val="0"/>
        </w:rPr>
      </w:pPr>
    </w:p>
    <w:p w:rsidR="00A65F75" w:rsidRPr="00C52E0A" w:rsidRDefault="00A65F75" w:rsidP="00CA506A">
      <w:pPr>
        <w:widowControl w:val="0"/>
        <w:spacing w:after="0" w:line="240" w:lineRule="auto"/>
        <w:jc w:val="both"/>
        <w:rPr>
          <w:rFonts w:eastAsia="Times New Roman" w:cs="Arial"/>
          <w:snapToGrid w:val="0"/>
        </w:rPr>
      </w:pPr>
      <w:r w:rsidRPr="00C52E0A">
        <w:rPr>
          <w:rFonts w:eastAsia="Times New Roman" w:cs="Arial"/>
          <w:snapToGrid w:val="0"/>
        </w:rPr>
        <w:t>Other beneficiaries include municipality-founded institutions and public utility companies, civil society organisations (CSO) and media in the participating municipalities. It is the inhabitants of the South East and South West Serbia who will feel the biggest benefits of the Programme.</w:t>
      </w:r>
    </w:p>
    <w:p w:rsidR="00A65F75" w:rsidRPr="00C52E0A" w:rsidRDefault="00A65F75" w:rsidP="00CA506A">
      <w:pPr>
        <w:widowControl w:val="0"/>
        <w:spacing w:after="0" w:line="240" w:lineRule="auto"/>
        <w:jc w:val="both"/>
        <w:rPr>
          <w:rFonts w:eastAsia="Times New Roman" w:cs="Arial"/>
          <w:snapToGrid w:val="0"/>
        </w:rPr>
      </w:pPr>
    </w:p>
    <w:p w:rsidR="00A27CB8" w:rsidRPr="00C52E0A" w:rsidRDefault="00A27CB8" w:rsidP="00CA506A">
      <w:pPr>
        <w:pStyle w:val="Heading2"/>
        <w:numPr>
          <w:ilvl w:val="0"/>
          <w:numId w:val="1"/>
        </w:numPr>
        <w:spacing w:before="0" w:line="240" w:lineRule="auto"/>
        <w:jc w:val="both"/>
        <w:rPr>
          <w:rFonts w:ascii="Calibri" w:hAnsi="Calibri"/>
          <w:sz w:val="24"/>
          <w:szCs w:val="24"/>
        </w:rPr>
      </w:pPr>
      <w:r w:rsidRPr="00C52E0A">
        <w:rPr>
          <w:rFonts w:ascii="Calibri" w:hAnsi="Calibri"/>
          <w:sz w:val="24"/>
          <w:szCs w:val="24"/>
        </w:rPr>
        <w:t>Justification of the Intervention</w:t>
      </w:r>
    </w:p>
    <w:p w:rsidR="00EA5786" w:rsidRPr="00C52E0A" w:rsidRDefault="00EA5786" w:rsidP="00CA506A">
      <w:pPr>
        <w:widowControl w:val="0"/>
        <w:autoSpaceDE w:val="0"/>
        <w:autoSpaceDN w:val="0"/>
        <w:adjustRightInd w:val="0"/>
        <w:spacing w:after="0" w:line="240" w:lineRule="auto"/>
        <w:jc w:val="both"/>
        <w:rPr>
          <w:rFonts w:cs="Calibri"/>
          <w:color w:val="141414"/>
        </w:rPr>
      </w:pPr>
      <w:r w:rsidRPr="00C52E0A">
        <w:rPr>
          <w:rFonts w:cs="Calibri"/>
          <w:color w:val="141414"/>
        </w:rPr>
        <w:t xml:space="preserve">The value of planning and prioritization of </w:t>
      </w:r>
      <w:r w:rsidR="00A1187C" w:rsidRPr="00C52E0A">
        <w:rPr>
          <w:rFonts w:cs="Calibri"/>
          <w:color w:val="141414"/>
        </w:rPr>
        <w:t xml:space="preserve">investment projects has been confirmed through a number of development projects implemented in Serbia in the recent years. </w:t>
      </w:r>
      <w:r w:rsidRPr="00C52E0A">
        <w:rPr>
          <w:rFonts w:cs="Calibri"/>
          <w:color w:val="141414"/>
        </w:rPr>
        <w:t>According to the Baseline Competitiveness Study, conducted in 2012 and 2013</w:t>
      </w:r>
      <w:r w:rsidR="00A1187C" w:rsidRPr="00C52E0A">
        <w:rPr>
          <w:rFonts w:cs="Calibri"/>
          <w:color w:val="141414"/>
        </w:rPr>
        <w:t xml:space="preserve"> through the EU PROGRES Programme</w:t>
      </w:r>
      <w:r w:rsidR="006500AB">
        <w:rPr>
          <w:rStyle w:val="FootnoteReference"/>
          <w:rFonts w:cs="Calibri"/>
          <w:color w:val="141414"/>
        </w:rPr>
        <w:footnoteReference w:id="1"/>
      </w:r>
      <w:r w:rsidRPr="00C52E0A">
        <w:rPr>
          <w:rFonts w:cs="Calibri"/>
          <w:color w:val="141414"/>
        </w:rPr>
        <w:t xml:space="preserve">, in basics, all </w:t>
      </w:r>
      <w:r w:rsidR="008863D2">
        <w:rPr>
          <w:rFonts w:cs="Calibri"/>
          <w:color w:val="141414"/>
        </w:rPr>
        <w:t>local self-governments (</w:t>
      </w:r>
      <w:r w:rsidRPr="00C52E0A">
        <w:rPr>
          <w:rFonts w:cs="Calibri"/>
          <w:color w:val="141414"/>
        </w:rPr>
        <w:t>L</w:t>
      </w:r>
      <w:r w:rsidR="002F723C">
        <w:rPr>
          <w:rFonts w:cs="Calibri"/>
          <w:color w:val="141414"/>
        </w:rPr>
        <w:t>S</w:t>
      </w:r>
      <w:r w:rsidRPr="00C52E0A">
        <w:rPr>
          <w:rFonts w:cs="Calibri"/>
          <w:color w:val="141414"/>
        </w:rPr>
        <w:t>Gs</w:t>
      </w:r>
      <w:r w:rsidR="008863D2">
        <w:rPr>
          <w:rFonts w:cs="Calibri"/>
          <w:color w:val="141414"/>
        </w:rPr>
        <w:t>)</w:t>
      </w:r>
      <w:r w:rsidRPr="00C52E0A">
        <w:rPr>
          <w:rFonts w:cs="Calibri"/>
          <w:color w:val="141414"/>
        </w:rPr>
        <w:t xml:space="preserve"> have low capital investment planning capacities and lack human resources in this area, since this function has not been established </w:t>
      </w:r>
      <w:r w:rsidR="00A1187C" w:rsidRPr="00C52E0A">
        <w:rPr>
          <w:rFonts w:cs="Calibri"/>
          <w:color w:val="141414"/>
        </w:rPr>
        <w:t>in majority of L</w:t>
      </w:r>
      <w:r w:rsidR="002F723C">
        <w:rPr>
          <w:rFonts w:cs="Calibri"/>
          <w:color w:val="141414"/>
        </w:rPr>
        <w:t>S</w:t>
      </w:r>
      <w:r w:rsidR="00A1187C" w:rsidRPr="00C52E0A">
        <w:rPr>
          <w:rFonts w:cs="Calibri"/>
          <w:color w:val="141414"/>
        </w:rPr>
        <w:t>Gs</w:t>
      </w:r>
      <w:r w:rsidRPr="00C52E0A">
        <w:rPr>
          <w:rFonts w:cs="Calibri"/>
          <w:color w:val="141414"/>
        </w:rPr>
        <w:t xml:space="preserve">. </w:t>
      </w:r>
    </w:p>
    <w:p w:rsidR="00EA5786" w:rsidRPr="00C52E0A" w:rsidRDefault="00EA5786" w:rsidP="00CA506A">
      <w:pPr>
        <w:widowControl w:val="0"/>
        <w:autoSpaceDE w:val="0"/>
        <w:autoSpaceDN w:val="0"/>
        <w:adjustRightInd w:val="0"/>
        <w:spacing w:after="0" w:line="240" w:lineRule="auto"/>
        <w:jc w:val="both"/>
        <w:rPr>
          <w:rFonts w:cs="Calibri"/>
          <w:color w:val="141414"/>
        </w:rPr>
      </w:pPr>
    </w:p>
    <w:p w:rsidR="00EA5786" w:rsidRDefault="00C52E0A" w:rsidP="00CA506A">
      <w:pPr>
        <w:widowControl w:val="0"/>
        <w:autoSpaceDE w:val="0"/>
        <w:autoSpaceDN w:val="0"/>
        <w:adjustRightInd w:val="0"/>
        <w:spacing w:after="0" w:line="240" w:lineRule="auto"/>
        <w:jc w:val="both"/>
        <w:rPr>
          <w:rFonts w:cs="Calibri"/>
          <w:color w:val="141414"/>
        </w:rPr>
      </w:pPr>
      <w:r w:rsidRPr="00C52E0A">
        <w:rPr>
          <w:rFonts w:cs="Calibri"/>
          <w:color w:val="141414"/>
        </w:rPr>
        <w:t xml:space="preserve">Through the </w:t>
      </w:r>
      <w:r w:rsidR="00EA5786" w:rsidRPr="00C52E0A">
        <w:rPr>
          <w:rFonts w:cs="Calibri"/>
          <w:color w:val="141414"/>
        </w:rPr>
        <w:t>EU PROGRES</w:t>
      </w:r>
      <w:r w:rsidRPr="00C52E0A">
        <w:rPr>
          <w:rFonts w:cs="Calibri"/>
          <w:color w:val="141414"/>
        </w:rPr>
        <w:t xml:space="preserve"> Programme</w:t>
      </w:r>
      <w:r w:rsidR="00EA5786" w:rsidRPr="00C52E0A">
        <w:rPr>
          <w:rFonts w:cs="Calibri"/>
          <w:color w:val="141414"/>
        </w:rPr>
        <w:t xml:space="preserve">, </w:t>
      </w:r>
      <w:r w:rsidRPr="00C52E0A">
        <w:rPr>
          <w:rFonts w:cs="Calibri"/>
          <w:color w:val="141414"/>
        </w:rPr>
        <w:t>t</w:t>
      </w:r>
      <w:r w:rsidR="00EA5786" w:rsidRPr="00C52E0A">
        <w:rPr>
          <w:rFonts w:cs="Calibri"/>
          <w:color w:val="141414"/>
        </w:rPr>
        <w:t xml:space="preserve">echnical assistance </w:t>
      </w:r>
      <w:r w:rsidRPr="00C52E0A">
        <w:rPr>
          <w:rFonts w:cs="Calibri"/>
          <w:color w:val="141414"/>
        </w:rPr>
        <w:t xml:space="preserve">was provided </w:t>
      </w:r>
      <w:r w:rsidR="00EA5786" w:rsidRPr="00C52E0A">
        <w:rPr>
          <w:rFonts w:cs="Calibri"/>
          <w:color w:val="141414"/>
        </w:rPr>
        <w:t>to five local governments to develop Capital Investment Plans for 2014-2019 and municipal budgets for year 2014 in the Programme Budgeting format. As a result</w:t>
      </w:r>
      <w:r w:rsidRPr="00C52E0A">
        <w:rPr>
          <w:rFonts w:cs="Calibri"/>
          <w:color w:val="141414"/>
        </w:rPr>
        <w:t>,</w:t>
      </w:r>
      <w:r w:rsidR="00EA5786" w:rsidRPr="00C52E0A">
        <w:rPr>
          <w:rFonts w:cs="Calibri"/>
          <w:color w:val="141414"/>
        </w:rPr>
        <w:t xml:space="preserve"> </w:t>
      </w:r>
      <w:proofErr w:type="spellStart"/>
      <w:r w:rsidR="00EA5786" w:rsidRPr="00C52E0A">
        <w:rPr>
          <w:rFonts w:cs="Calibri"/>
          <w:color w:val="141414"/>
        </w:rPr>
        <w:t>Medveđa</w:t>
      </w:r>
      <w:proofErr w:type="spellEnd"/>
      <w:r w:rsidR="00EA5786" w:rsidRPr="00C52E0A">
        <w:rPr>
          <w:rFonts w:cs="Calibri"/>
          <w:color w:val="141414"/>
        </w:rPr>
        <w:t xml:space="preserve">, </w:t>
      </w:r>
      <w:proofErr w:type="spellStart"/>
      <w:r w:rsidR="00EA5786" w:rsidRPr="00C52E0A">
        <w:rPr>
          <w:rFonts w:cs="Calibri"/>
          <w:color w:val="141414"/>
        </w:rPr>
        <w:t>Vladičin</w:t>
      </w:r>
      <w:proofErr w:type="spellEnd"/>
      <w:r w:rsidR="00EA5786" w:rsidRPr="00C52E0A">
        <w:rPr>
          <w:rFonts w:cs="Calibri"/>
          <w:color w:val="141414"/>
        </w:rPr>
        <w:t xml:space="preserve"> Han, </w:t>
      </w:r>
      <w:proofErr w:type="spellStart"/>
      <w:r w:rsidR="00EA5786" w:rsidRPr="00C52E0A">
        <w:rPr>
          <w:rFonts w:cs="Calibri"/>
          <w:color w:val="141414"/>
        </w:rPr>
        <w:t>Raška</w:t>
      </w:r>
      <w:proofErr w:type="spellEnd"/>
      <w:r w:rsidR="00EA5786" w:rsidRPr="00C52E0A">
        <w:rPr>
          <w:rFonts w:cs="Calibri"/>
          <w:color w:val="141414"/>
        </w:rPr>
        <w:t xml:space="preserve">, Nova </w:t>
      </w:r>
      <w:proofErr w:type="spellStart"/>
      <w:r w:rsidR="00EA5786" w:rsidRPr="00C52E0A">
        <w:rPr>
          <w:rFonts w:cs="Calibri"/>
          <w:color w:val="141414"/>
        </w:rPr>
        <w:t>Varoš</w:t>
      </w:r>
      <w:proofErr w:type="spellEnd"/>
      <w:r w:rsidR="00EA5786" w:rsidRPr="00C52E0A">
        <w:rPr>
          <w:rFonts w:cs="Calibri"/>
          <w:color w:val="141414"/>
        </w:rPr>
        <w:t xml:space="preserve"> and Vlasotince have cumulatively developed 117 projects valued over 109 million Euros, adopted by municipal assemblies through the five-year Capital Investment Plans. In addition, the local governments allocated budget for implementation of these projects through their 2014 budgets also adopted by local assemblies. Having in mind that the new programme budgeting format</w:t>
      </w:r>
      <w:r w:rsidR="006500AB">
        <w:rPr>
          <w:rStyle w:val="FootnoteReference"/>
          <w:rFonts w:cs="Calibri"/>
          <w:color w:val="141414"/>
        </w:rPr>
        <w:footnoteReference w:id="2"/>
      </w:r>
      <w:r w:rsidR="00EA5786" w:rsidRPr="00C52E0A">
        <w:rPr>
          <w:rFonts w:cs="Calibri"/>
          <w:color w:val="141414"/>
        </w:rPr>
        <w:t xml:space="preserve"> implies projection of budget over a three-year period, the LSGs have disbursed funding for</w:t>
      </w:r>
      <w:r w:rsidR="006500AB">
        <w:rPr>
          <w:rFonts w:cs="Calibri"/>
          <w:color w:val="141414"/>
        </w:rPr>
        <w:t xml:space="preserve"> capital investment </w:t>
      </w:r>
      <w:r w:rsidR="00EA5786" w:rsidRPr="00C52E0A">
        <w:rPr>
          <w:rFonts w:cs="Calibri"/>
          <w:color w:val="141414"/>
        </w:rPr>
        <w:t>projects over the 2014-2016 period</w:t>
      </w:r>
      <w:r w:rsidR="006500AB">
        <w:rPr>
          <w:rStyle w:val="FootnoteReference"/>
          <w:rFonts w:cs="Calibri"/>
          <w:color w:val="141414"/>
        </w:rPr>
        <w:footnoteReference w:id="3"/>
      </w:r>
      <w:r w:rsidR="00EA5786" w:rsidRPr="00C52E0A">
        <w:rPr>
          <w:rFonts w:cs="Calibri"/>
          <w:color w:val="141414"/>
        </w:rPr>
        <w:t xml:space="preserve">. </w:t>
      </w:r>
    </w:p>
    <w:p w:rsidR="00C52E0A" w:rsidRDefault="00C52E0A" w:rsidP="00CA506A">
      <w:pPr>
        <w:widowControl w:val="0"/>
        <w:autoSpaceDE w:val="0"/>
        <w:autoSpaceDN w:val="0"/>
        <w:adjustRightInd w:val="0"/>
        <w:spacing w:after="0" w:line="240" w:lineRule="auto"/>
        <w:jc w:val="both"/>
        <w:rPr>
          <w:rFonts w:cs="Calibri"/>
          <w:color w:val="141414"/>
        </w:rPr>
      </w:pPr>
    </w:p>
    <w:p w:rsidR="00570C07" w:rsidRDefault="00C52E0A" w:rsidP="00CA506A">
      <w:pPr>
        <w:widowControl w:val="0"/>
        <w:autoSpaceDE w:val="0"/>
        <w:autoSpaceDN w:val="0"/>
        <w:adjustRightInd w:val="0"/>
        <w:spacing w:after="0" w:line="240" w:lineRule="auto"/>
        <w:jc w:val="both"/>
        <w:rPr>
          <w:rFonts w:cs="Calibri"/>
          <w:color w:val="141414"/>
        </w:rPr>
      </w:pPr>
      <w:r>
        <w:rPr>
          <w:rFonts w:cs="Calibri"/>
          <w:color w:val="141414"/>
        </w:rPr>
        <w:t xml:space="preserve">In addition, </w:t>
      </w:r>
      <w:r w:rsidR="008039C0">
        <w:rPr>
          <w:rFonts w:cs="Calibri"/>
          <w:color w:val="141414"/>
        </w:rPr>
        <w:t xml:space="preserve">the </w:t>
      </w:r>
      <w:r>
        <w:rPr>
          <w:rFonts w:cs="Calibri"/>
          <w:color w:val="141414"/>
        </w:rPr>
        <w:t xml:space="preserve">results of the assistance the Standing Conference of Towns and Municipalities (SCTM) provides through the Exchange 4 Programme to all Serbian LSGs in development of programme budgets, shows that the need for further technical assistance is still needed. According to their experience, the LSGs will need to be supported for at least two to three years to be able to independently develop programme budgets in compliance with the updated legislation. </w:t>
      </w:r>
    </w:p>
    <w:p w:rsidR="00BE426D" w:rsidRPr="00C52E0A" w:rsidRDefault="00BE426D" w:rsidP="00CA506A">
      <w:pPr>
        <w:spacing w:after="0" w:line="240" w:lineRule="auto"/>
        <w:jc w:val="both"/>
      </w:pPr>
    </w:p>
    <w:p w:rsidR="00A27CB8" w:rsidRPr="00C52E0A" w:rsidRDefault="00A27CB8" w:rsidP="00CA506A">
      <w:pPr>
        <w:pStyle w:val="Heading2"/>
        <w:numPr>
          <w:ilvl w:val="0"/>
          <w:numId w:val="1"/>
        </w:numPr>
        <w:spacing w:before="0" w:line="240" w:lineRule="auto"/>
        <w:jc w:val="both"/>
        <w:rPr>
          <w:rFonts w:ascii="Calibri" w:hAnsi="Calibri"/>
          <w:sz w:val="24"/>
          <w:szCs w:val="24"/>
        </w:rPr>
      </w:pPr>
      <w:r w:rsidRPr="00C52E0A">
        <w:rPr>
          <w:rFonts w:ascii="Calibri" w:hAnsi="Calibri"/>
          <w:sz w:val="24"/>
          <w:szCs w:val="24"/>
        </w:rPr>
        <w:t>Objectives of the Intervention</w:t>
      </w:r>
      <w:r w:rsidR="00447CDE" w:rsidRPr="00C52E0A">
        <w:rPr>
          <w:rFonts w:ascii="Calibri" w:hAnsi="Calibri"/>
          <w:sz w:val="24"/>
          <w:szCs w:val="24"/>
        </w:rPr>
        <w:t xml:space="preserve"> and</w:t>
      </w:r>
      <w:r w:rsidR="00423D9F" w:rsidRPr="00C52E0A">
        <w:rPr>
          <w:rFonts w:ascii="Calibri" w:hAnsi="Calibri"/>
          <w:sz w:val="24"/>
          <w:szCs w:val="24"/>
        </w:rPr>
        <w:t xml:space="preserve"> Polic</w:t>
      </w:r>
      <w:r w:rsidR="00860A08" w:rsidRPr="00C52E0A">
        <w:rPr>
          <w:rFonts w:ascii="Calibri" w:hAnsi="Calibri"/>
          <w:sz w:val="24"/>
          <w:szCs w:val="24"/>
        </w:rPr>
        <w:t>y</w:t>
      </w:r>
    </w:p>
    <w:p w:rsidR="00655F9A" w:rsidRPr="00C52E0A" w:rsidRDefault="001B3BA4" w:rsidP="00CA506A">
      <w:pPr>
        <w:spacing w:after="0" w:line="240" w:lineRule="auto"/>
        <w:jc w:val="both"/>
      </w:pPr>
      <w:r w:rsidRPr="00C52E0A">
        <w:rPr>
          <w:b/>
        </w:rPr>
        <w:t xml:space="preserve">Overall </w:t>
      </w:r>
      <w:r w:rsidR="00904B47" w:rsidRPr="00C52E0A">
        <w:rPr>
          <w:b/>
        </w:rPr>
        <w:t>objective</w:t>
      </w:r>
      <w:r w:rsidRPr="00C52E0A">
        <w:rPr>
          <w:b/>
        </w:rPr>
        <w:t xml:space="preserve">: </w:t>
      </w:r>
    </w:p>
    <w:p w:rsidR="00133F3C" w:rsidRPr="00E460A9" w:rsidRDefault="00E565E1" w:rsidP="00CA506A">
      <w:pPr>
        <w:widowControl w:val="0"/>
        <w:autoSpaceDE w:val="0"/>
        <w:autoSpaceDN w:val="0"/>
        <w:adjustRightInd w:val="0"/>
        <w:spacing w:after="0" w:line="240" w:lineRule="auto"/>
        <w:jc w:val="both"/>
        <w:rPr>
          <w:rFonts w:cs="Calibri"/>
          <w:color w:val="141414"/>
        </w:rPr>
      </w:pPr>
      <w:r w:rsidRPr="00E460A9">
        <w:rPr>
          <w:rFonts w:cs="Calibri"/>
          <w:color w:val="141414"/>
        </w:rPr>
        <w:t xml:space="preserve">Contribute to establishment of </w:t>
      </w:r>
      <w:r w:rsidR="00133F3C" w:rsidRPr="00E460A9">
        <w:rPr>
          <w:rFonts w:cs="Calibri"/>
          <w:color w:val="141414"/>
        </w:rPr>
        <w:t>systematic approach in</w:t>
      </w:r>
      <w:r w:rsidR="006500AB">
        <w:rPr>
          <w:rFonts w:cs="Calibri"/>
          <w:color w:val="141414"/>
        </w:rPr>
        <w:t xml:space="preserve"> financial</w:t>
      </w:r>
      <w:r w:rsidR="00133F3C" w:rsidRPr="00E460A9">
        <w:rPr>
          <w:rFonts w:cs="Calibri"/>
          <w:color w:val="141414"/>
        </w:rPr>
        <w:t xml:space="preserve"> planning </w:t>
      </w:r>
      <w:r w:rsidRPr="00E460A9">
        <w:rPr>
          <w:rFonts w:cs="Calibri"/>
          <w:color w:val="141414"/>
        </w:rPr>
        <w:t>leading to enhanced utilization of</w:t>
      </w:r>
      <w:r w:rsidR="00133F3C" w:rsidRPr="00E460A9">
        <w:rPr>
          <w:rFonts w:cs="Calibri"/>
          <w:color w:val="141414"/>
        </w:rPr>
        <w:t xml:space="preserve"> existing financial capacity with increased efficiency and effectiveness, and in line with the principles of Good Governance</w:t>
      </w:r>
      <w:r w:rsidR="000708B8">
        <w:rPr>
          <w:rFonts w:cs="Calibri"/>
          <w:color w:val="141414"/>
        </w:rPr>
        <w:t xml:space="preserve">: </w:t>
      </w:r>
      <w:r w:rsidR="00133F3C" w:rsidRPr="00E460A9">
        <w:rPr>
          <w:rFonts w:cs="Calibri"/>
          <w:color w:val="141414"/>
        </w:rPr>
        <w:t xml:space="preserve">transparency, accountability and </w:t>
      </w:r>
      <w:r w:rsidR="000708B8">
        <w:rPr>
          <w:rFonts w:cs="Calibri"/>
          <w:color w:val="141414"/>
        </w:rPr>
        <w:t xml:space="preserve">citizens’ </w:t>
      </w:r>
      <w:r w:rsidR="00133F3C" w:rsidRPr="00E460A9">
        <w:rPr>
          <w:rFonts w:cs="Calibri"/>
          <w:color w:val="141414"/>
        </w:rPr>
        <w:t>participation in decision making.</w:t>
      </w:r>
    </w:p>
    <w:p w:rsidR="00A65F75" w:rsidRPr="00C52E0A" w:rsidRDefault="00A65F75" w:rsidP="00CA506A">
      <w:pPr>
        <w:spacing w:after="0" w:line="240" w:lineRule="auto"/>
        <w:jc w:val="both"/>
        <w:rPr>
          <w:u w:val="single"/>
        </w:rPr>
      </w:pPr>
    </w:p>
    <w:p w:rsidR="00042279" w:rsidRPr="00C52E0A" w:rsidRDefault="001B3BA4" w:rsidP="00CA506A">
      <w:pPr>
        <w:spacing w:after="0" w:line="240" w:lineRule="auto"/>
        <w:jc w:val="both"/>
      </w:pPr>
      <w:r w:rsidRPr="00C52E0A">
        <w:rPr>
          <w:b/>
          <w:shd w:val="clear" w:color="auto" w:fill="FFFFFF"/>
        </w:rPr>
        <w:t xml:space="preserve">Specific </w:t>
      </w:r>
      <w:r w:rsidR="00904B47" w:rsidRPr="00C52E0A">
        <w:rPr>
          <w:b/>
          <w:shd w:val="clear" w:color="auto" w:fill="FFFFFF"/>
        </w:rPr>
        <w:t>objective</w:t>
      </w:r>
      <w:r w:rsidR="00042279" w:rsidRPr="00C52E0A">
        <w:t>:</w:t>
      </w:r>
    </w:p>
    <w:p w:rsidR="00EE340E" w:rsidRPr="00C52E0A" w:rsidRDefault="00CB1B9E" w:rsidP="00CA506A">
      <w:pPr>
        <w:spacing w:after="0" w:line="240" w:lineRule="auto"/>
        <w:jc w:val="both"/>
        <w:rPr>
          <w:b/>
          <w:bCs/>
          <w:color w:val="FF0000"/>
        </w:rPr>
      </w:pPr>
      <w:r w:rsidRPr="00C52E0A">
        <w:t>P</w:t>
      </w:r>
      <w:r w:rsidR="00042279" w:rsidRPr="00C52E0A">
        <w:t>rovide technical</w:t>
      </w:r>
      <w:r w:rsidR="00CA506A">
        <w:t xml:space="preserve"> </w:t>
      </w:r>
      <w:r w:rsidRPr="00C52E0A">
        <w:t>assistance</w:t>
      </w:r>
      <w:r w:rsidR="00CA506A">
        <w:t xml:space="preserve"> </w:t>
      </w:r>
      <w:r w:rsidRPr="00C52E0A">
        <w:t>for</w:t>
      </w:r>
      <w:r w:rsidR="00133F3C" w:rsidRPr="00C52E0A">
        <w:t xml:space="preserve"> d</w:t>
      </w:r>
      <w:r w:rsidR="005A0A65" w:rsidRPr="00C52E0A">
        <w:t>evelopment of Capital Investment Plans</w:t>
      </w:r>
      <w:r w:rsidR="00CA506A">
        <w:t xml:space="preserve"> </w:t>
      </w:r>
      <w:r w:rsidR="00310CA0">
        <w:t xml:space="preserve">and Programme Budgets </w:t>
      </w:r>
      <w:r w:rsidRPr="00C52E0A">
        <w:t>to at least ten Programme local self-governments.</w:t>
      </w:r>
    </w:p>
    <w:p w:rsidR="00042279" w:rsidRPr="00C52E0A" w:rsidRDefault="00042279" w:rsidP="00CA506A">
      <w:pPr>
        <w:spacing w:after="0" w:line="240" w:lineRule="auto"/>
        <w:jc w:val="both"/>
        <w:rPr>
          <w:b/>
          <w:bCs/>
        </w:rPr>
      </w:pPr>
    </w:p>
    <w:p w:rsidR="00722EE7" w:rsidRPr="00C52E0A" w:rsidRDefault="003777AB" w:rsidP="00CA506A">
      <w:pPr>
        <w:spacing w:after="0" w:line="240" w:lineRule="auto"/>
        <w:jc w:val="both"/>
        <w:rPr>
          <w:b/>
          <w:bCs/>
        </w:rPr>
      </w:pPr>
      <w:r w:rsidRPr="00C52E0A">
        <w:rPr>
          <w:b/>
          <w:bCs/>
        </w:rPr>
        <w:lastRenderedPageBreak/>
        <w:t>Policy</w:t>
      </w:r>
    </w:p>
    <w:p w:rsidR="00926B12" w:rsidRPr="00C52E0A" w:rsidRDefault="003777AB" w:rsidP="00CA506A">
      <w:pPr>
        <w:spacing w:after="0" w:line="240" w:lineRule="auto"/>
        <w:jc w:val="both"/>
        <w:rPr>
          <w:b/>
          <w:bCs/>
        </w:rPr>
      </w:pPr>
      <w:r w:rsidRPr="00C52E0A">
        <w:t xml:space="preserve">The intervention is aligned to existing national/regional/sub-regional strategies and plans, including: </w:t>
      </w:r>
    </w:p>
    <w:p w:rsidR="000F78C9" w:rsidRPr="00C52E0A" w:rsidRDefault="003777AB" w:rsidP="00CA506A">
      <w:pPr>
        <w:pStyle w:val="ColorfulList-Accent11"/>
        <w:numPr>
          <w:ilvl w:val="0"/>
          <w:numId w:val="4"/>
        </w:numPr>
        <w:spacing w:after="0" w:line="240" w:lineRule="auto"/>
        <w:jc w:val="both"/>
        <w:rPr>
          <w:lang w:val="en-GB"/>
        </w:rPr>
      </w:pPr>
      <w:r w:rsidRPr="00C52E0A">
        <w:rPr>
          <w:lang w:val="en-GB"/>
        </w:rPr>
        <w:t>Fiscal Strategy for 2014 with projections for 2015 and 2016</w:t>
      </w:r>
    </w:p>
    <w:p w:rsidR="000F78C9" w:rsidRPr="00C52E0A" w:rsidRDefault="003777AB" w:rsidP="00CA506A">
      <w:pPr>
        <w:pStyle w:val="ColorfulList-Accent11"/>
        <w:numPr>
          <w:ilvl w:val="0"/>
          <w:numId w:val="4"/>
        </w:numPr>
        <w:spacing w:after="0" w:line="240" w:lineRule="auto"/>
        <w:jc w:val="both"/>
        <w:rPr>
          <w:lang w:val="en-GB"/>
        </w:rPr>
      </w:pPr>
      <w:r w:rsidRPr="00C52E0A">
        <w:rPr>
          <w:lang w:val="en-GB"/>
        </w:rPr>
        <w:t>Law on Financing of Local Self Governments</w:t>
      </w:r>
    </w:p>
    <w:p w:rsidR="00DD5329" w:rsidRPr="00C52E0A" w:rsidRDefault="003777AB" w:rsidP="00CA506A">
      <w:pPr>
        <w:pStyle w:val="ColorfulList-Accent11"/>
        <w:numPr>
          <w:ilvl w:val="0"/>
          <w:numId w:val="4"/>
        </w:numPr>
        <w:spacing w:after="0" w:line="240" w:lineRule="auto"/>
        <w:jc w:val="both"/>
        <w:rPr>
          <w:lang w:val="en-GB"/>
        </w:rPr>
      </w:pPr>
      <w:r w:rsidRPr="00C52E0A">
        <w:rPr>
          <w:lang w:val="en-GB"/>
        </w:rPr>
        <w:t>Local Sustainable Development Strategies</w:t>
      </w:r>
    </w:p>
    <w:p w:rsidR="000F78C9" w:rsidRPr="00C52E0A" w:rsidRDefault="00DD5329" w:rsidP="00CA506A">
      <w:pPr>
        <w:pStyle w:val="ColorfulList-Accent11"/>
        <w:numPr>
          <w:ilvl w:val="0"/>
          <w:numId w:val="4"/>
        </w:numPr>
        <w:spacing w:after="0" w:line="240" w:lineRule="auto"/>
        <w:jc w:val="both"/>
        <w:rPr>
          <w:lang w:val="en-GB"/>
        </w:rPr>
      </w:pPr>
      <w:r w:rsidRPr="00C52E0A">
        <w:rPr>
          <w:lang w:val="en-GB"/>
        </w:rPr>
        <w:t>Budget System Law</w:t>
      </w:r>
      <w:r w:rsidR="003777AB" w:rsidRPr="00C52E0A">
        <w:rPr>
          <w:lang w:val="en-GB"/>
        </w:rPr>
        <w:t xml:space="preserve">.  </w:t>
      </w:r>
    </w:p>
    <w:p w:rsidR="00016864" w:rsidRPr="00C52E0A" w:rsidRDefault="00016864" w:rsidP="00CA506A">
      <w:pPr>
        <w:spacing w:after="0" w:line="240" w:lineRule="auto"/>
        <w:jc w:val="both"/>
      </w:pPr>
    </w:p>
    <w:p w:rsidR="00F0672C" w:rsidRPr="00C52E0A" w:rsidRDefault="003777AB" w:rsidP="00CA506A">
      <w:pPr>
        <w:spacing w:after="0" w:line="240" w:lineRule="auto"/>
        <w:jc w:val="both"/>
      </w:pPr>
      <w:r w:rsidRPr="00C52E0A">
        <w:t>Also,</w:t>
      </w:r>
      <w:r w:rsidR="00CA506A">
        <w:t xml:space="preserve"> </w:t>
      </w:r>
      <w:r w:rsidRPr="00C52E0A">
        <w:t>the intervention is in line with the</w:t>
      </w:r>
      <w:r w:rsidR="00EA5786" w:rsidRPr="00C52E0A">
        <w:t xml:space="preserve"> following</w:t>
      </w:r>
      <w:r w:rsidRPr="00C52E0A">
        <w:t xml:space="preserve"> main goals and priorities</w:t>
      </w:r>
      <w:r w:rsidR="00EA5786" w:rsidRPr="00C52E0A">
        <w:t xml:space="preserve"> of the fiscal policy listed in the Fiscal Strategy for 2014 with projections for 2015 and 2016</w:t>
      </w:r>
      <w:r w:rsidR="00EA5786" w:rsidRPr="00C52E0A">
        <w:rPr>
          <w:rStyle w:val="FootnoteReference"/>
        </w:rPr>
        <w:footnoteReference w:id="4"/>
      </w:r>
      <w:r w:rsidRPr="00C52E0A">
        <w:t>:</w:t>
      </w:r>
    </w:p>
    <w:p w:rsidR="000F78C9" w:rsidRPr="00C52E0A" w:rsidRDefault="003777AB" w:rsidP="00CA506A">
      <w:pPr>
        <w:numPr>
          <w:ilvl w:val="0"/>
          <w:numId w:val="3"/>
        </w:numPr>
        <w:spacing w:after="0" w:line="240" w:lineRule="auto"/>
        <w:contextualSpacing/>
        <w:jc w:val="both"/>
      </w:pPr>
      <w:r w:rsidRPr="00C52E0A">
        <w:t xml:space="preserve">The reduction of the share of public expenditure, fiscal deficit and public debt to GDP ratio; </w:t>
      </w:r>
    </w:p>
    <w:p w:rsidR="000F78C9" w:rsidRPr="00C52E0A" w:rsidRDefault="003777AB" w:rsidP="00CA506A">
      <w:pPr>
        <w:numPr>
          <w:ilvl w:val="0"/>
          <w:numId w:val="3"/>
        </w:numPr>
        <w:spacing w:after="0" w:line="240" w:lineRule="auto"/>
        <w:contextualSpacing/>
        <w:jc w:val="both"/>
      </w:pPr>
      <w:r w:rsidRPr="00C52E0A">
        <w:t>Clear prioritization of capital / investment projects in which the state will have the role of investors and translating other such projects in the model concessionary financing and public-pr</w:t>
      </w:r>
      <w:r w:rsidR="0054582A" w:rsidRPr="00C52E0A">
        <w:t>ivate partnerships.</w:t>
      </w:r>
    </w:p>
    <w:p w:rsidR="000F78C9" w:rsidRPr="00C52E0A" w:rsidRDefault="000F78C9" w:rsidP="00CA506A">
      <w:pPr>
        <w:spacing w:after="0" w:line="240" w:lineRule="auto"/>
        <w:jc w:val="both"/>
      </w:pPr>
    </w:p>
    <w:p w:rsidR="00A27CB8" w:rsidRPr="00C52E0A" w:rsidRDefault="00A27CB8" w:rsidP="00CA506A">
      <w:pPr>
        <w:pStyle w:val="Heading2"/>
        <w:numPr>
          <w:ilvl w:val="0"/>
          <w:numId w:val="4"/>
        </w:numPr>
        <w:spacing w:before="0" w:line="240" w:lineRule="auto"/>
        <w:jc w:val="both"/>
        <w:rPr>
          <w:rFonts w:ascii="Calibri" w:hAnsi="Calibri"/>
          <w:sz w:val="24"/>
          <w:szCs w:val="24"/>
        </w:rPr>
      </w:pPr>
      <w:r w:rsidRPr="00C52E0A">
        <w:rPr>
          <w:rFonts w:ascii="Calibri" w:hAnsi="Calibri"/>
          <w:sz w:val="24"/>
          <w:szCs w:val="24"/>
        </w:rPr>
        <w:t>Scope of the Intervention</w:t>
      </w:r>
    </w:p>
    <w:p w:rsidR="0054582A" w:rsidRDefault="007D7590" w:rsidP="00CA506A">
      <w:pPr>
        <w:spacing w:after="0" w:line="240" w:lineRule="auto"/>
        <w:jc w:val="both"/>
      </w:pPr>
      <w:r w:rsidRPr="00C52E0A">
        <w:t xml:space="preserve">European PROGRES will provide </w:t>
      </w:r>
      <w:r w:rsidR="00767AD6" w:rsidRPr="00C52E0A">
        <w:t>technical assistance</w:t>
      </w:r>
      <w:r w:rsidR="00CB1B9E" w:rsidRPr="00C52E0A">
        <w:t xml:space="preserve"> to local-</w:t>
      </w:r>
      <w:r w:rsidR="00497CCA" w:rsidRPr="00C52E0A">
        <w:t>self-governments</w:t>
      </w:r>
      <w:r w:rsidR="00105437">
        <w:t xml:space="preserve"> </w:t>
      </w:r>
      <w:r w:rsidR="00497CCA" w:rsidRPr="00C52E0A">
        <w:t xml:space="preserve">selected </w:t>
      </w:r>
      <w:r w:rsidR="00E936FD" w:rsidRPr="00C52E0A">
        <w:t xml:space="preserve">through </w:t>
      </w:r>
      <w:r w:rsidR="00EC424D" w:rsidRPr="00C52E0A">
        <w:t>the</w:t>
      </w:r>
      <w:r w:rsidR="00E936FD" w:rsidRPr="00C52E0A">
        <w:t xml:space="preserve"> competitive </w:t>
      </w:r>
      <w:r w:rsidR="00497CCA" w:rsidRPr="00C52E0A">
        <w:t xml:space="preserve">process to develop Capital Investment Plans </w:t>
      </w:r>
      <w:r w:rsidR="0054582A" w:rsidRPr="00C52E0A">
        <w:t xml:space="preserve">for three to five years period </w:t>
      </w:r>
      <w:r w:rsidR="00497CCA" w:rsidRPr="00C52E0A">
        <w:t xml:space="preserve">and </w:t>
      </w:r>
      <w:r w:rsidR="0054582A" w:rsidRPr="00C52E0A">
        <w:t>programme budgets for year 2016.</w:t>
      </w:r>
    </w:p>
    <w:p w:rsidR="00A24E44" w:rsidRDefault="00A24E44" w:rsidP="00CA506A">
      <w:pPr>
        <w:spacing w:after="0" w:line="240" w:lineRule="auto"/>
        <w:jc w:val="both"/>
      </w:pPr>
    </w:p>
    <w:p w:rsidR="007D72AD" w:rsidRDefault="00A24E44" w:rsidP="00CA506A">
      <w:pPr>
        <w:widowControl w:val="0"/>
        <w:autoSpaceDE w:val="0"/>
        <w:autoSpaceDN w:val="0"/>
        <w:adjustRightInd w:val="0"/>
        <w:spacing w:after="0" w:line="240" w:lineRule="auto"/>
        <w:jc w:val="both"/>
        <w:rPr>
          <w:rFonts w:cs="Calibri"/>
          <w:color w:val="141414"/>
        </w:rPr>
      </w:pPr>
      <w:r w:rsidRPr="00C52E0A">
        <w:rPr>
          <w:rFonts w:cs="Calibri"/>
          <w:color w:val="141414"/>
        </w:rPr>
        <w:t>It should be noted that the technical assistance in capital investment planning will take into account the CIP interlinking with the local strategic documents (especially with the L</w:t>
      </w:r>
      <w:r w:rsidR="002F723C">
        <w:rPr>
          <w:rFonts w:cs="Calibri"/>
          <w:color w:val="141414"/>
        </w:rPr>
        <w:t>S</w:t>
      </w:r>
      <w:r w:rsidRPr="00C52E0A">
        <w:rPr>
          <w:rFonts w:cs="Calibri"/>
          <w:color w:val="141414"/>
        </w:rPr>
        <w:t>G development priorities) and program</w:t>
      </w:r>
      <w:r w:rsidR="000708B8">
        <w:rPr>
          <w:rFonts w:cs="Calibri"/>
          <w:color w:val="141414"/>
        </w:rPr>
        <w:t>me</w:t>
      </w:r>
      <w:r w:rsidRPr="00C52E0A">
        <w:rPr>
          <w:rFonts w:cs="Calibri"/>
          <w:color w:val="141414"/>
        </w:rPr>
        <w:t xml:space="preserve"> based local budgets. Those three documents (a Strategic Plan</w:t>
      </w:r>
      <w:r w:rsidRPr="00C52E0A">
        <w:rPr>
          <w:rFonts w:cs="Calibri"/>
          <w:color w:val="141414"/>
          <w:vertAlign w:val="superscript"/>
        </w:rPr>
        <w:footnoteReference w:id="5"/>
      </w:r>
      <w:r w:rsidRPr="00C52E0A">
        <w:rPr>
          <w:rFonts w:cs="Calibri"/>
          <w:color w:val="141414"/>
        </w:rPr>
        <w:t>, a Capital Investment Program</w:t>
      </w:r>
      <w:r w:rsidR="005F62D0">
        <w:rPr>
          <w:rFonts w:cs="Calibri"/>
          <w:color w:val="141414"/>
        </w:rPr>
        <w:t>me</w:t>
      </w:r>
      <w:r w:rsidRPr="00C52E0A">
        <w:rPr>
          <w:rFonts w:cs="Calibri"/>
          <w:color w:val="141414"/>
        </w:rPr>
        <w:t xml:space="preserve"> and a Program</w:t>
      </w:r>
      <w:r w:rsidR="000708B8">
        <w:rPr>
          <w:rFonts w:cs="Calibri"/>
          <w:color w:val="141414"/>
        </w:rPr>
        <w:t>me</w:t>
      </w:r>
      <w:r w:rsidRPr="00C52E0A">
        <w:rPr>
          <w:rFonts w:cs="Calibri"/>
          <w:color w:val="141414"/>
        </w:rPr>
        <w:t xml:space="preserve"> Budget) are three interlinked levels of the same planning process which provides optimal planning and programming of the local communities’ development. </w:t>
      </w:r>
    </w:p>
    <w:p w:rsidR="007D72AD" w:rsidRDefault="007D72AD" w:rsidP="00CA506A">
      <w:pPr>
        <w:widowControl w:val="0"/>
        <w:autoSpaceDE w:val="0"/>
        <w:autoSpaceDN w:val="0"/>
        <w:adjustRightInd w:val="0"/>
        <w:spacing w:after="0" w:line="240" w:lineRule="auto"/>
        <w:jc w:val="both"/>
        <w:rPr>
          <w:rFonts w:cs="Calibri"/>
          <w:color w:val="141414"/>
        </w:rPr>
      </w:pPr>
    </w:p>
    <w:p w:rsidR="00A24E44" w:rsidRDefault="00A24E44" w:rsidP="00CA506A">
      <w:pPr>
        <w:widowControl w:val="0"/>
        <w:autoSpaceDE w:val="0"/>
        <w:autoSpaceDN w:val="0"/>
        <w:adjustRightInd w:val="0"/>
        <w:spacing w:after="0" w:line="240" w:lineRule="auto"/>
        <w:jc w:val="both"/>
        <w:rPr>
          <w:rFonts w:cs="Calibri"/>
          <w:color w:val="141414"/>
        </w:rPr>
      </w:pPr>
      <w:r w:rsidRPr="00C52E0A">
        <w:rPr>
          <w:rFonts w:cs="Calibri"/>
          <w:color w:val="141414"/>
        </w:rPr>
        <w:t>The relations between those three documents could be presented in the following way:</w:t>
      </w:r>
    </w:p>
    <w:p w:rsidR="00A24E44" w:rsidRPr="00C52E0A" w:rsidRDefault="00A24E44" w:rsidP="00CA506A">
      <w:pPr>
        <w:widowControl w:val="0"/>
        <w:autoSpaceDE w:val="0"/>
        <w:autoSpaceDN w:val="0"/>
        <w:adjustRightInd w:val="0"/>
        <w:spacing w:after="0" w:line="240" w:lineRule="auto"/>
        <w:jc w:val="both"/>
        <w:rPr>
          <w:rFonts w:cs="Calibri"/>
          <w:color w:val="141414"/>
        </w:rPr>
      </w:pPr>
      <w:r w:rsidRPr="00C52E0A">
        <w:rPr>
          <w:rFonts w:cs="Calibri"/>
          <w:noProof/>
          <w:color w:val="141414"/>
          <w:lang w:val="en-US"/>
        </w:rPr>
        <w:drawing>
          <wp:inline distT="0" distB="0" distL="0" distR="0">
            <wp:extent cx="5899785" cy="2099144"/>
            <wp:effectExtent l="76200" t="19050" r="81915" b="53506"/>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24E44" w:rsidRPr="00C52E0A" w:rsidRDefault="00A24E44" w:rsidP="00CA506A">
      <w:pPr>
        <w:widowControl w:val="0"/>
        <w:autoSpaceDE w:val="0"/>
        <w:autoSpaceDN w:val="0"/>
        <w:adjustRightInd w:val="0"/>
        <w:spacing w:after="0" w:line="240" w:lineRule="auto"/>
        <w:jc w:val="both"/>
        <w:rPr>
          <w:rFonts w:cs="Calibri"/>
          <w:color w:val="141414"/>
        </w:rPr>
      </w:pPr>
    </w:p>
    <w:p w:rsidR="00A24E44" w:rsidRDefault="00A24E44" w:rsidP="00CA506A">
      <w:pPr>
        <w:widowControl w:val="0"/>
        <w:autoSpaceDE w:val="0"/>
        <w:autoSpaceDN w:val="0"/>
        <w:adjustRightInd w:val="0"/>
        <w:spacing w:after="0" w:line="240" w:lineRule="auto"/>
        <w:jc w:val="both"/>
        <w:rPr>
          <w:rFonts w:cs="Calibri"/>
          <w:color w:val="141414"/>
        </w:rPr>
      </w:pPr>
      <w:r w:rsidRPr="00C52E0A">
        <w:rPr>
          <w:rFonts w:cs="Calibri"/>
          <w:color w:val="141414"/>
        </w:rPr>
        <w:t xml:space="preserve">The purpose of the strategic document is to provide the LSGs with a long-term (commonly 10+ years) direction and priorities for its development. The role of the Capital Investment Plan (CIP) is to transfer </w:t>
      </w:r>
      <w:r w:rsidRPr="00C52E0A">
        <w:rPr>
          <w:rFonts w:cs="Calibri"/>
          <w:color w:val="141414"/>
        </w:rPr>
        <w:lastRenderedPageBreak/>
        <w:t>this long-term perspective into the mid-term one and in this sense it represent</w:t>
      </w:r>
      <w:r w:rsidR="005F62D0">
        <w:rPr>
          <w:rFonts w:cs="Calibri"/>
          <w:color w:val="141414"/>
        </w:rPr>
        <w:t>s</w:t>
      </w:r>
      <w:r w:rsidRPr="00C52E0A">
        <w:rPr>
          <w:rFonts w:cs="Calibri"/>
          <w:color w:val="141414"/>
        </w:rPr>
        <w:t xml:space="preserve"> an instrument for the implementation of the set strategic priorities and goals. The Program</w:t>
      </w:r>
      <w:r w:rsidR="000708B8">
        <w:rPr>
          <w:rFonts w:cs="Calibri"/>
          <w:color w:val="141414"/>
        </w:rPr>
        <w:t>me</w:t>
      </w:r>
      <w:r w:rsidRPr="00C52E0A">
        <w:rPr>
          <w:rFonts w:cs="Calibri"/>
          <w:color w:val="141414"/>
        </w:rPr>
        <w:t xml:space="preserve"> Budget, on the other hand, transfers the CIP mid-term framework into an operational, one year perspective and in that way it represents an instrument for the implementation of specific capital investment projects.</w:t>
      </w:r>
    </w:p>
    <w:p w:rsidR="00A24E44" w:rsidRPr="00C52E0A" w:rsidRDefault="00A24E44" w:rsidP="00CA506A">
      <w:pPr>
        <w:widowControl w:val="0"/>
        <w:autoSpaceDE w:val="0"/>
        <w:autoSpaceDN w:val="0"/>
        <w:adjustRightInd w:val="0"/>
        <w:spacing w:after="0" w:line="240" w:lineRule="auto"/>
        <w:jc w:val="both"/>
        <w:rPr>
          <w:rFonts w:cs="Calibri"/>
          <w:color w:val="141414"/>
        </w:rPr>
      </w:pPr>
    </w:p>
    <w:p w:rsidR="00A24E44" w:rsidRPr="00C52E0A" w:rsidRDefault="00A24E44" w:rsidP="00CA506A">
      <w:pPr>
        <w:widowControl w:val="0"/>
        <w:autoSpaceDE w:val="0"/>
        <w:autoSpaceDN w:val="0"/>
        <w:adjustRightInd w:val="0"/>
        <w:spacing w:after="0" w:line="240" w:lineRule="auto"/>
        <w:jc w:val="both"/>
        <w:rPr>
          <w:rFonts w:cs="Calibri"/>
          <w:color w:val="141414"/>
        </w:rPr>
      </w:pPr>
      <w:r w:rsidRPr="00C52E0A">
        <w:rPr>
          <w:rFonts w:cs="Calibri"/>
          <w:color w:val="141414"/>
        </w:rPr>
        <w:t>In order to follow the above described relations between various documents included in the planning process, the</w:t>
      </w:r>
      <w:r>
        <w:rPr>
          <w:rFonts w:cs="Calibri"/>
          <w:color w:val="141414"/>
        </w:rPr>
        <w:t xml:space="preserve"> European PROGRES</w:t>
      </w:r>
      <w:r w:rsidRPr="00C52E0A">
        <w:rPr>
          <w:rFonts w:cs="Calibri"/>
          <w:color w:val="141414"/>
        </w:rPr>
        <w:t xml:space="preserve"> has tailored a technical assistance program</w:t>
      </w:r>
      <w:r w:rsidR="005F62D0">
        <w:rPr>
          <w:rFonts w:cs="Calibri"/>
          <w:color w:val="141414"/>
        </w:rPr>
        <w:t>me</w:t>
      </w:r>
      <w:r w:rsidRPr="00C52E0A">
        <w:rPr>
          <w:rFonts w:cs="Calibri"/>
          <w:color w:val="141414"/>
        </w:rPr>
        <w:t xml:space="preserve"> for local governments so as to provide consistency and comprehensiveness of the whole process. The technical assistance will </w:t>
      </w:r>
      <w:r w:rsidR="00F02CFA" w:rsidRPr="00F02CFA">
        <w:rPr>
          <w:rFonts w:cs="Calibri"/>
          <w:color w:val="141414"/>
        </w:rPr>
        <w:t>be focu</w:t>
      </w:r>
      <w:r w:rsidR="005F62D0">
        <w:rPr>
          <w:rFonts w:cs="Calibri"/>
          <w:color w:val="141414"/>
        </w:rPr>
        <w:t>s</w:t>
      </w:r>
      <w:r w:rsidR="00F02CFA" w:rsidRPr="00F02CFA">
        <w:rPr>
          <w:rFonts w:cs="Calibri"/>
          <w:color w:val="141414"/>
        </w:rPr>
        <w:t>sed on preparation of CIPs and programme budgets</w:t>
      </w:r>
      <w:r w:rsidRPr="00C52E0A">
        <w:rPr>
          <w:rFonts w:cs="Calibri"/>
          <w:color w:val="141414"/>
        </w:rPr>
        <w:t xml:space="preserve">. </w:t>
      </w:r>
      <w:r w:rsidR="00F02CFA" w:rsidRPr="00F02CFA">
        <w:rPr>
          <w:rFonts w:cs="Calibri"/>
          <w:color w:val="141414"/>
        </w:rPr>
        <w:t xml:space="preserve">As for the preparation of the strategic development plans, they will not be area of assistance, but will be analysed and (if needed to provide consistency with the CIP) the adjustment will be recommended. </w:t>
      </w:r>
      <w:r w:rsidRPr="00C52E0A">
        <w:rPr>
          <w:rFonts w:cs="Calibri"/>
          <w:color w:val="141414"/>
        </w:rPr>
        <w:t>The assistance will be adjusted to the specific needs of individual program</w:t>
      </w:r>
      <w:r w:rsidR="00C47CEB">
        <w:rPr>
          <w:rFonts w:cs="Calibri"/>
          <w:color w:val="141414"/>
        </w:rPr>
        <w:t>me</w:t>
      </w:r>
      <w:r w:rsidRPr="00C52E0A">
        <w:rPr>
          <w:rFonts w:cs="Calibri"/>
          <w:color w:val="141414"/>
        </w:rPr>
        <w:t xml:space="preserve"> L</w:t>
      </w:r>
      <w:r w:rsidR="002F723C">
        <w:rPr>
          <w:rFonts w:cs="Calibri"/>
          <w:color w:val="141414"/>
        </w:rPr>
        <w:t>S</w:t>
      </w:r>
      <w:r w:rsidRPr="00C52E0A">
        <w:rPr>
          <w:rFonts w:cs="Calibri"/>
          <w:color w:val="141414"/>
        </w:rPr>
        <w:t>Gs so, for example, the L</w:t>
      </w:r>
      <w:r w:rsidR="002F723C">
        <w:rPr>
          <w:rFonts w:cs="Calibri"/>
          <w:color w:val="141414"/>
        </w:rPr>
        <w:t>S</w:t>
      </w:r>
      <w:r w:rsidRPr="00C52E0A">
        <w:rPr>
          <w:rFonts w:cs="Calibri"/>
          <w:color w:val="141414"/>
        </w:rPr>
        <w:t>Gs which have already prepared strategic documents will receive assistance concerning preparation of their CIP and PB; those which have already prepared the CIP will receive assistance (if needed) in updating their CIP and in preparation of the PB, etc.</w:t>
      </w:r>
    </w:p>
    <w:p w:rsidR="00A24E44" w:rsidRPr="00C52E0A" w:rsidRDefault="00A24E44" w:rsidP="00CA506A">
      <w:pPr>
        <w:spacing w:after="0" w:line="240" w:lineRule="auto"/>
        <w:jc w:val="both"/>
      </w:pPr>
    </w:p>
    <w:p w:rsidR="00A27CB8" w:rsidRPr="00C52E0A" w:rsidRDefault="00A27CB8" w:rsidP="00CA506A">
      <w:pPr>
        <w:pStyle w:val="Heading2"/>
        <w:numPr>
          <w:ilvl w:val="0"/>
          <w:numId w:val="4"/>
        </w:numPr>
        <w:spacing w:before="0" w:line="240" w:lineRule="auto"/>
        <w:jc w:val="both"/>
        <w:rPr>
          <w:rFonts w:ascii="Calibri" w:hAnsi="Calibri"/>
          <w:sz w:val="24"/>
          <w:szCs w:val="24"/>
        </w:rPr>
      </w:pPr>
      <w:r w:rsidRPr="00C52E0A">
        <w:rPr>
          <w:rFonts w:ascii="Calibri" w:hAnsi="Calibri"/>
          <w:sz w:val="24"/>
          <w:szCs w:val="24"/>
        </w:rPr>
        <w:t>General Conditions</w:t>
      </w:r>
    </w:p>
    <w:p w:rsidR="00644B33" w:rsidRPr="00C52E0A" w:rsidRDefault="00644B33" w:rsidP="00CA506A">
      <w:pPr>
        <w:spacing w:after="0" w:line="240" w:lineRule="auto"/>
      </w:pPr>
    </w:p>
    <w:p w:rsidR="00914B80" w:rsidRPr="00C52E0A" w:rsidRDefault="00914B80" w:rsidP="00CA506A">
      <w:pPr>
        <w:pStyle w:val="Heading4"/>
        <w:numPr>
          <w:ilvl w:val="0"/>
          <w:numId w:val="5"/>
        </w:numPr>
        <w:spacing w:before="0" w:line="240" w:lineRule="auto"/>
        <w:rPr>
          <w:rFonts w:ascii="Calibri" w:hAnsi="Calibri"/>
          <w:sz w:val="22"/>
          <w:szCs w:val="22"/>
        </w:rPr>
      </w:pPr>
      <w:r w:rsidRPr="00C52E0A">
        <w:rPr>
          <w:rFonts w:ascii="Calibri" w:hAnsi="Calibri"/>
          <w:sz w:val="22"/>
          <w:szCs w:val="22"/>
        </w:rPr>
        <w:t xml:space="preserve">Eligible Applicants </w:t>
      </w:r>
    </w:p>
    <w:p w:rsidR="00914B80" w:rsidRPr="00C52E0A" w:rsidRDefault="00914B80" w:rsidP="00CA506A">
      <w:pPr>
        <w:spacing w:after="0" w:line="240" w:lineRule="auto"/>
        <w:jc w:val="both"/>
        <w:rPr>
          <w:rFonts w:cs="Arial"/>
          <w:color w:val="222222"/>
        </w:rPr>
      </w:pPr>
      <w:r w:rsidRPr="00C52E0A">
        <w:t xml:space="preserve">This intervention is geographically restricted to </w:t>
      </w:r>
      <w:r w:rsidR="00BB5E97" w:rsidRPr="00C52E0A">
        <w:t>the</w:t>
      </w:r>
      <w:r w:rsidR="00FE21E7" w:rsidRPr="00C52E0A">
        <w:t xml:space="preserve"> 34 </w:t>
      </w:r>
      <w:r w:rsidR="001D47A8">
        <w:t xml:space="preserve">LSGs participating in the </w:t>
      </w:r>
      <w:r w:rsidR="00FE21E7" w:rsidRPr="00C52E0A">
        <w:t>Programme</w:t>
      </w:r>
      <w:r w:rsidR="00FA405F" w:rsidRPr="00C52E0A">
        <w:t>. However, local self-governments who have already adopted Capital Investment Plans for the period which includes year 2016 are not eligible to a</w:t>
      </w:r>
      <w:r w:rsidR="003C646F" w:rsidRPr="00C52E0A">
        <w:t xml:space="preserve">pply. </w:t>
      </w:r>
      <w:r w:rsidR="00CE0396" w:rsidRPr="00C52E0A">
        <w:t xml:space="preserve">In line with the European PROGRES Programme document, </w:t>
      </w:r>
      <w:proofErr w:type="spellStart"/>
      <w:r w:rsidR="003C646F" w:rsidRPr="00C52E0A">
        <w:t>Raška</w:t>
      </w:r>
      <w:proofErr w:type="spellEnd"/>
      <w:r w:rsidR="003C646F" w:rsidRPr="00C52E0A">
        <w:t xml:space="preserve">, Nova </w:t>
      </w:r>
      <w:proofErr w:type="spellStart"/>
      <w:r w:rsidR="003C646F" w:rsidRPr="00C52E0A">
        <w:t>Varoš</w:t>
      </w:r>
      <w:proofErr w:type="spellEnd"/>
      <w:r w:rsidR="003C646F" w:rsidRPr="00C52E0A">
        <w:t xml:space="preserve">, Vlasotince, </w:t>
      </w:r>
      <w:proofErr w:type="spellStart"/>
      <w:r w:rsidR="003C646F" w:rsidRPr="00C52E0A">
        <w:t>Vladičin</w:t>
      </w:r>
      <w:proofErr w:type="spellEnd"/>
      <w:r w:rsidR="003C646F" w:rsidRPr="00C52E0A">
        <w:t xml:space="preserve"> Han and </w:t>
      </w:r>
      <w:proofErr w:type="spellStart"/>
      <w:r w:rsidR="003C646F" w:rsidRPr="00C52E0A">
        <w:t>Medveđa</w:t>
      </w:r>
      <w:proofErr w:type="spellEnd"/>
      <w:r w:rsidR="00CE0396" w:rsidRPr="00C52E0A">
        <w:t>,</w:t>
      </w:r>
      <w:r w:rsidR="003C646F" w:rsidRPr="00C52E0A">
        <w:t xml:space="preserve"> which have been supported by the EU PROGRES Programme in development of their Capital Investment Plans will </w:t>
      </w:r>
      <w:r w:rsidR="001D47A8">
        <w:t xml:space="preserve">not be receiving assistance for capital investment planning but will </w:t>
      </w:r>
      <w:r w:rsidR="003C646F" w:rsidRPr="00C52E0A">
        <w:t>be supported in developing programme budgets for year 2016</w:t>
      </w:r>
      <w:r w:rsidR="0045680A">
        <w:t xml:space="preserve"> once it is confirmed that their plans are used and aligned with planned and executed budgets since their adoption</w:t>
      </w:r>
      <w:r w:rsidR="003C646F" w:rsidRPr="00C52E0A">
        <w:t xml:space="preserve">. </w:t>
      </w:r>
    </w:p>
    <w:p w:rsidR="00B70264" w:rsidRPr="00C52E0A" w:rsidRDefault="00B70264" w:rsidP="00CA506A">
      <w:pPr>
        <w:spacing w:after="0" w:line="240" w:lineRule="auto"/>
        <w:jc w:val="both"/>
        <w:rPr>
          <w:highlight w:val="green"/>
        </w:rPr>
      </w:pPr>
      <w:r w:rsidRPr="00C52E0A">
        <w:t xml:space="preserve">The precondition for participation in this activity will be that a municipality has established </w:t>
      </w:r>
      <w:r w:rsidR="0045680A">
        <w:t xml:space="preserve">or fulfilled conditions for establishment of </w:t>
      </w:r>
      <w:r w:rsidRPr="00C52E0A">
        <w:t xml:space="preserve">a </w:t>
      </w:r>
      <w:r w:rsidRPr="00C52E0A">
        <w:rPr>
          <w:b/>
        </w:rPr>
        <w:t>capital planning function</w:t>
      </w:r>
      <w:r w:rsidRPr="00C52E0A">
        <w:t xml:space="preserve"> within its organisational structure</w:t>
      </w:r>
      <w:r w:rsidRPr="00C52E0A">
        <w:rPr>
          <w:rStyle w:val="FootnoteReference"/>
        </w:rPr>
        <w:footnoteReference w:id="6"/>
      </w:r>
      <w:r w:rsidRPr="00C52E0A">
        <w:t xml:space="preserve">, that is, </w:t>
      </w:r>
      <w:r w:rsidR="00042279" w:rsidRPr="00C52E0A">
        <w:t>to have</w:t>
      </w:r>
      <w:r w:rsidRPr="00C52E0A">
        <w:t xml:space="preserve"> potential for bringing together various departmental personnel and technical disciplines. It also provides opportunities to involve the public-and particularly special-interest groups such as developers, </w:t>
      </w:r>
      <w:r w:rsidR="00882086" w:rsidRPr="00C52E0A">
        <w:t>neighbourhood</w:t>
      </w:r>
      <w:r w:rsidRPr="00C52E0A">
        <w:t xml:space="preserve"> associations, business groups, and taxpayer associations-in defining and creating the community’s future.</w:t>
      </w:r>
    </w:p>
    <w:p w:rsidR="00B70264" w:rsidRPr="00C52E0A" w:rsidRDefault="00B70264" w:rsidP="00CA506A">
      <w:pPr>
        <w:spacing w:after="0" w:line="240" w:lineRule="auto"/>
        <w:jc w:val="both"/>
        <w:rPr>
          <w:rFonts w:cs="Arial"/>
          <w:color w:val="222222"/>
        </w:rPr>
      </w:pPr>
    </w:p>
    <w:p w:rsidR="00A27CB8" w:rsidRPr="00C52E0A" w:rsidRDefault="00903D49" w:rsidP="00CA506A">
      <w:pPr>
        <w:pStyle w:val="Heading4"/>
        <w:numPr>
          <w:ilvl w:val="0"/>
          <w:numId w:val="5"/>
        </w:numPr>
        <w:spacing w:before="0" w:line="240" w:lineRule="auto"/>
        <w:rPr>
          <w:rFonts w:ascii="Calibri" w:hAnsi="Calibri"/>
          <w:sz w:val="22"/>
          <w:szCs w:val="22"/>
        </w:rPr>
      </w:pPr>
      <w:r w:rsidRPr="00C52E0A">
        <w:rPr>
          <w:rFonts w:ascii="Calibri" w:hAnsi="Calibri"/>
          <w:sz w:val="22"/>
          <w:szCs w:val="22"/>
        </w:rPr>
        <w:t xml:space="preserve">Duration of </w:t>
      </w:r>
      <w:r w:rsidR="004960E5" w:rsidRPr="00C52E0A">
        <w:rPr>
          <w:rFonts w:ascii="Calibri" w:hAnsi="Calibri"/>
          <w:sz w:val="22"/>
          <w:szCs w:val="22"/>
        </w:rPr>
        <w:t xml:space="preserve">the </w:t>
      </w:r>
      <w:r w:rsidR="00685E8E" w:rsidRPr="00C52E0A">
        <w:rPr>
          <w:rFonts w:ascii="Calibri" w:hAnsi="Calibri"/>
          <w:sz w:val="22"/>
          <w:szCs w:val="22"/>
        </w:rPr>
        <w:t>P</w:t>
      </w:r>
      <w:r w:rsidRPr="00C52E0A">
        <w:rPr>
          <w:rFonts w:ascii="Calibri" w:hAnsi="Calibri"/>
          <w:sz w:val="22"/>
          <w:szCs w:val="22"/>
        </w:rPr>
        <w:t>roject</w:t>
      </w:r>
    </w:p>
    <w:p w:rsidR="00655F9A" w:rsidRPr="00C52E0A" w:rsidRDefault="00DE6211" w:rsidP="00CA506A">
      <w:pPr>
        <w:spacing w:after="0" w:line="240" w:lineRule="auto"/>
        <w:jc w:val="both"/>
        <w:rPr>
          <w:rFonts w:cs="Calibri"/>
        </w:rPr>
      </w:pPr>
      <w:r w:rsidRPr="00C52E0A">
        <w:rPr>
          <w:rFonts w:cs="Calibri"/>
        </w:rPr>
        <w:t xml:space="preserve">The technical support will be conducted </w:t>
      </w:r>
      <w:r w:rsidR="003C646F" w:rsidRPr="00C52E0A">
        <w:rPr>
          <w:rFonts w:cs="Calibri"/>
        </w:rPr>
        <w:t xml:space="preserve">from February 2015 until the end of December 2015 in line with the above provided tentative timeline. </w:t>
      </w:r>
    </w:p>
    <w:p w:rsidR="00E11ED0" w:rsidRPr="00C52E0A" w:rsidRDefault="00E11ED0" w:rsidP="00CA506A">
      <w:pPr>
        <w:pStyle w:val="BodyText"/>
        <w:rPr>
          <w:rFonts w:ascii="Calibri" w:hAnsi="Calibri"/>
          <w:snapToGrid/>
          <w:color w:val="FF0000"/>
          <w:sz w:val="22"/>
          <w:szCs w:val="22"/>
          <w:lang w:val="en-GB"/>
        </w:rPr>
      </w:pPr>
    </w:p>
    <w:p w:rsidR="00EF2DB9" w:rsidRPr="00C52E0A" w:rsidRDefault="00EF2DB9" w:rsidP="00CA506A">
      <w:pPr>
        <w:pStyle w:val="Heading2"/>
        <w:numPr>
          <w:ilvl w:val="0"/>
          <w:numId w:val="4"/>
        </w:numPr>
        <w:spacing w:before="0" w:line="240" w:lineRule="auto"/>
        <w:jc w:val="both"/>
        <w:rPr>
          <w:rFonts w:ascii="Calibri" w:hAnsi="Calibri"/>
          <w:sz w:val="24"/>
          <w:szCs w:val="24"/>
        </w:rPr>
      </w:pPr>
      <w:r w:rsidRPr="00C52E0A">
        <w:rPr>
          <w:rFonts w:ascii="Calibri" w:hAnsi="Calibri"/>
          <w:sz w:val="24"/>
          <w:szCs w:val="24"/>
        </w:rPr>
        <w:t xml:space="preserve">Selection </w:t>
      </w:r>
      <w:r w:rsidR="00685E8E" w:rsidRPr="00C52E0A">
        <w:rPr>
          <w:rFonts w:ascii="Calibri" w:hAnsi="Calibri"/>
          <w:sz w:val="24"/>
          <w:szCs w:val="24"/>
        </w:rPr>
        <w:t>Criteria</w:t>
      </w:r>
    </w:p>
    <w:p w:rsidR="00EF2DB9" w:rsidRPr="00C52E0A" w:rsidRDefault="00EF2DB9" w:rsidP="00CA506A">
      <w:pPr>
        <w:spacing w:after="0" w:line="240" w:lineRule="auto"/>
        <w:jc w:val="both"/>
      </w:pPr>
      <w:r w:rsidRPr="00C52E0A">
        <w:t>The evaluation of the applications that have passed the administrative check will cover assessment on the basis of the following criteria:</w:t>
      </w:r>
    </w:p>
    <w:p w:rsidR="00047E45" w:rsidRPr="00C52E0A" w:rsidRDefault="00047E45" w:rsidP="00CA506A">
      <w:pPr>
        <w:numPr>
          <w:ilvl w:val="0"/>
          <w:numId w:val="15"/>
        </w:numPr>
        <w:spacing w:before="120" w:after="120" w:line="240" w:lineRule="auto"/>
        <w:contextualSpacing/>
        <w:jc w:val="both"/>
      </w:pPr>
      <w:r w:rsidRPr="00C52E0A">
        <w:t>Local government’s readiness for active cooperation and participation in the</w:t>
      </w:r>
      <w:r w:rsidR="00205F93">
        <w:t xml:space="preserve"> European PROGRES</w:t>
      </w:r>
    </w:p>
    <w:p w:rsidR="00047E45" w:rsidRPr="00C52E0A" w:rsidRDefault="00047E45" w:rsidP="00CA506A">
      <w:pPr>
        <w:numPr>
          <w:ilvl w:val="0"/>
          <w:numId w:val="15"/>
        </w:numPr>
        <w:spacing w:before="240" w:after="120" w:line="240" w:lineRule="auto"/>
        <w:ind w:left="714" w:hanging="357"/>
        <w:contextualSpacing/>
        <w:jc w:val="both"/>
      </w:pPr>
      <w:r w:rsidRPr="00C52E0A">
        <w:t xml:space="preserve">Efficiency and effectiveness of the local administration </w:t>
      </w:r>
    </w:p>
    <w:p w:rsidR="00047E45" w:rsidRPr="00C52E0A" w:rsidRDefault="00047E45" w:rsidP="00CA506A">
      <w:pPr>
        <w:numPr>
          <w:ilvl w:val="0"/>
          <w:numId w:val="15"/>
        </w:numPr>
        <w:spacing w:before="240" w:after="120" w:line="240" w:lineRule="auto"/>
        <w:ind w:left="714" w:hanging="357"/>
        <w:contextualSpacing/>
        <w:jc w:val="both"/>
      </w:pPr>
      <w:r w:rsidRPr="00C52E0A">
        <w:t>Organizational capacity for development</w:t>
      </w:r>
    </w:p>
    <w:p w:rsidR="00047E45" w:rsidRPr="00C52E0A" w:rsidRDefault="00047E45" w:rsidP="00CA506A">
      <w:pPr>
        <w:numPr>
          <w:ilvl w:val="0"/>
          <w:numId w:val="15"/>
        </w:numPr>
        <w:spacing w:before="240" w:after="120" w:line="240" w:lineRule="auto"/>
        <w:ind w:left="714" w:hanging="357"/>
        <w:contextualSpacing/>
        <w:jc w:val="both"/>
      </w:pPr>
      <w:r w:rsidRPr="00C52E0A">
        <w:lastRenderedPageBreak/>
        <w:t xml:space="preserve">Status of the key spatial and land planning documents </w:t>
      </w:r>
    </w:p>
    <w:p w:rsidR="00047E45" w:rsidRPr="00C52E0A" w:rsidRDefault="00047E45" w:rsidP="00CA506A">
      <w:pPr>
        <w:numPr>
          <w:ilvl w:val="0"/>
          <w:numId w:val="15"/>
        </w:numPr>
        <w:spacing w:before="240" w:after="120" w:line="240" w:lineRule="auto"/>
        <w:ind w:left="714" w:hanging="357"/>
        <w:contextualSpacing/>
        <w:jc w:val="both"/>
      </w:pPr>
      <w:r w:rsidRPr="00C52E0A">
        <w:t>Financial position of the local governments</w:t>
      </w:r>
      <w:r w:rsidR="00D46757">
        <w:t>.</w:t>
      </w:r>
    </w:p>
    <w:tbl>
      <w:tblPr>
        <w:tblStyle w:val="GridTable1Light-Accent11"/>
        <w:tblpPr w:leftFromText="180" w:rightFromText="180" w:vertAnchor="text" w:horzAnchor="margin" w:tblpY="205"/>
        <w:tblW w:w="9513" w:type="dxa"/>
        <w:tblLook w:val="04E0"/>
      </w:tblPr>
      <w:tblGrid>
        <w:gridCol w:w="704"/>
        <w:gridCol w:w="4112"/>
        <w:gridCol w:w="866"/>
        <w:gridCol w:w="1148"/>
        <w:gridCol w:w="1104"/>
        <w:gridCol w:w="1579"/>
      </w:tblGrid>
      <w:tr w:rsidR="00CA506A" w:rsidRPr="00205F93" w:rsidTr="00CA506A">
        <w:trPr>
          <w:cnfStyle w:val="100000000000"/>
          <w:trHeight w:val="699"/>
          <w:tblHeader/>
        </w:trPr>
        <w:tc>
          <w:tcPr>
            <w:cnfStyle w:val="001000000000"/>
            <w:tcW w:w="704" w:type="dxa"/>
            <w:hideMark/>
          </w:tcPr>
          <w:p w:rsidR="00CA506A" w:rsidRPr="00205F93" w:rsidRDefault="00CA506A" w:rsidP="00CA506A">
            <w:pPr>
              <w:spacing w:after="0" w:line="240" w:lineRule="auto"/>
              <w:jc w:val="center"/>
              <w:rPr>
                <w:sz w:val="20"/>
              </w:rPr>
            </w:pPr>
            <w:r w:rsidRPr="00205F93">
              <w:rPr>
                <w:sz w:val="20"/>
              </w:rPr>
              <w:t>No</w:t>
            </w:r>
          </w:p>
        </w:tc>
        <w:tc>
          <w:tcPr>
            <w:tcW w:w="4112" w:type="dxa"/>
            <w:hideMark/>
          </w:tcPr>
          <w:p w:rsidR="00CA506A" w:rsidRPr="00205F93" w:rsidRDefault="00CA506A" w:rsidP="00CA506A">
            <w:pPr>
              <w:spacing w:after="0" w:line="240" w:lineRule="auto"/>
              <w:jc w:val="center"/>
              <w:cnfStyle w:val="100000000000"/>
              <w:rPr>
                <w:sz w:val="20"/>
              </w:rPr>
            </w:pPr>
            <w:r w:rsidRPr="00205F93">
              <w:rPr>
                <w:sz w:val="20"/>
              </w:rPr>
              <w:t>CRITERIA</w:t>
            </w:r>
          </w:p>
        </w:tc>
        <w:tc>
          <w:tcPr>
            <w:tcW w:w="866" w:type="dxa"/>
            <w:hideMark/>
          </w:tcPr>
          <w:p w:rsidR="00CA506A" w:rsidRPr="00205F93" w:rsidRDefault="00CA506A" w:rsidP="00CA506A">
            <w:pPr>
              <w:spacing w:after="0" w:line="240" w:lineRule="auto"/>
              <w:jc w:val="center"/>
              <w:cnfStyle w:val="100000000000"/>
              <w:rPr>
                <w:sz w:val="20"/>
              </w:rPr>
            </w:pPr>
            <w:r w:rsidRPr="00205F93">
              <w:rPr>
                <w:sz w:val="20"/>
              </w:rPr>
              <w:t>MARK RANGE</w:t>
            </w:r>
          </w:p>
        </w:tc>
        <w:tc>
          <w:tcPr>
            <w:tcW w:w="1148" w:type="dxa"/>
            <w:hideMark/>
          </w:tcPr>
          <w:p w:rsidR="00CA506A" w:rsidRPr="00205F93" w:rsidRDefault="00CA506A" w:rsidP="00CA506A">
            <w:pPr>
              <w:spacing w:after="0" w:line="240" w:lineRule="auto"/>
              <w:jc w:val="center"/>
              <w:cnfStyle w:val="100000000000"/>
              <w:rPr>
                <w:sz w:val="20"/>
              </w:rPr>
            </w:pPr>
            <w:r w:rsidRPr="00205F93">
              <w:rPr>
                <w:sz w:val="20"/>
              </w:rPr>
              <w:t>ASSIGNED MARK</w:t>
            </w:r>
          </w:p>
        </w:tc>
        <w:tc>
          <w:tcPr>
            <w:tcW w:w="1104" w:type="dxa"/>
            <w:hideMark/>
          </w:tcPr>
          <w:p w:rsidR="00CA506A" w:rsidRPr="00205F93" w:rsidRDefault="00CA506A" w:rsidP="00CA506A">
            <w:pPr>
              <w:spacing w:after="0" w:line="240" w:lineRule="auto"/>
              <w:jc w:val="center"/>
              <w:cnfStyle w:val="100000000000"/>
              <w:rPr>
                <w:sz w:val="20"/>
              </w:rPr>
            </w:pPr>
            <w:r w:rsidRPr="00205F93">
              <w:rPr>
                <w:sz w:val="20"/>
              </w:rPr>
              <w:t>WEIGHT</w:t>
            </w:r>
          </w:p>
        </w:tc>
        <w:tc>
          <w:tcPr>
            <w:tcW w:w="1579" w:type="dxa"/>
            <w:hideMark/>
          </w:tcPr>
          <w:p w:rsidR="00CA506A" w:rsidRPr="00205F93" w:rsidRDefault="00CA506A" w:rsidP="00CA506A">
            <w:pPr>
              <w:spacing w:after="0" w:line="240" w:lineRule="auto"/>
              <w:jc w:val="center"/>
              <w:cnfStyle w:val="100000000000"/>
              <w:rPr>
                <w:sz w:val="20"/>
              </w:rPr>
            </w:pPr>
            <w:r w:rsidRPr="00205F93">
              <w:rPr>
                <w:sz w:val="20"/>
              </w:rPr>
              <w:t>TOTAL (WEIGHTED SCORE)</w:t>
            </w:r>
          </w:p>
        </w:tc>
      </w:tr>
      <w:tr w:rsidR="00CA506A" w:rsidRPr="00205F93" w:rsidTr="00CA506A">
        <w:trPr>
          <w:trHeight w:val="188"/>
        </w:trPr>
        <w:tc>
          <w:tcPr>
            <w:cnfStyle w:val="001000000000"/>
            <w:tcW w:w="704" w:type="dxa"/>
            <w:hideMark/>
          </w:tcPr>
          <w:p w:rsidR="00CA506A" w:rsidRPr="00205F93" w:rsidRDefault="00CA506A" w:rsidP="00CA506A">
            <w:pPr>
              <w:spacing w:after="0" w:line="240" w:lineRule="auto"/>
              <w:jc w:val="center"/>
              <w:rPr>
                <w:rFonts w:eastAsia="Times New Roman" w:cs="Arial"/>
                <w:b w:val="0"/>
                <w:bCs w:val="0"/>
                <w:sz w:val="20"/>
              </w:rPr>
            </w:pPr>
            <w:r w:rsidRPr="00205F93">
              <w:rPr>
                <w:rFonts w:eastAsia="Times New Roman" w:cs="Arial"/>
                <w:b w:val="0"/>
                <w:bCs w:val="0"/>
                <w:sz w:val="20"/>
              </w:rPr>
              <w:t>1</w:t>
            </w:r>
          </w:p>
        </w:tc>
        <w:tc>
          <w:tcPr>
            <w:tcW w:w="4112"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2</w:t>
            </w:r>
          </w:p>
        </w:tc>
        <w:tc>
          <w:tcPr>
            <w:tcW w:w="866"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3</w:t>
            </w:r>
          </w:p>
        </w:tc>
        <w:tc>
          <w:tcPr>
            <w:tcW w:w="1148"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4</w:t>
            </w:r>
          </w:p>
        </w:tc>
        <w:tc>
          <w:tcPr>
            <w:tcW w:w="1104"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5</w:t>
            </w:r>
          </w:p>
        </w:tc>
        <w:tc>
          <w:tcPr>
            <w:tcW w:w="1579"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4 X 5</w:t>
            </w:r>
          </w:p>
        </w:tc>
      </w:tr>
      <w:tr w:rsidR="00CA506A" w:rsidRPr="00205F93" w:rsidTr="00CA506A">
        <w:trPr>
          <w:trHeight w:val="375"/>
        </w:trPr>
        <w:tc>
          <w:tcPr>
            <w:cnfStyle w:val="001000000000"/>
            <w:tcW w:w="704" w:type="dxa"/>
            <w:shd w:val="clear" w:color="auto" w:fill="DBE5F1" w:themeFill="accent1" w:themeFillTint="33"/>
            <w:hideMark/>
          </w:tcPr>
          <w:p w:rsidR="00CA506A" w:rsidRPr="00205F93" w:rsidRDefault="00CA506A" w:rsidP="00CA506A">
            <w:pPr>
              <w:spacing w:after="0" w:line="240" w:lineRule="auto"/>
              <w:jc w:val="center"/>
              <w:rPr>
                <w:rFonts w:eastAsia="Times New Roman" w:cs="Arial"/>
                <w:bCs w:val="0"/>
                <w:sz w:val="20"/>
              </w:rPr>
            </w:pPr>
            <w:r w:rsidRPr="00205F93">
              <w:rPr>
                <w:rFonts w:eastAsia="Times New Roman" w:cs="Arial"/>
                <w:bCs w:val="0"/>
                <w:sz w:val="20"/>
              </w:rPr>
              <w:t>1</w:t>
            </w:r>
          </w:p>
        </w:tc>
        <w:tc>
          <w:tcPr>
            <w:tcW w:w="8809" w:type="dxa"/>
            <w:gridSpan w:val="5"/>
            <w:shd w:val="clear" w:color="auto" w:fill="DBE5F1" w:themeFill="accent1" w:themeFillTint="33"/>
            <w:hideMark/>
          </w:tcPr>
          <w:p w:rsidR="00CA506A" w:rsidRPr="00205F93" w:rsidRDefault="00CA506A" w:rsidP="00CA506A">
            <w:pPr>
              <w:spacing w:after="0" w:line="240" w:lineRule="auto"/>
              <w:jc w:val="center"/>
              <w:cnfStyle w:val="000000000000"/>
              <w:rPr>
                <w:rFonts w:eastAsia="Times New Roman" w:cs="Arial"/>
                <w:b/>
                <w:bCs/>
                <w:i/>
                <w:iCs/>
                <w:sz w:val="20"/>
              </w:rPr>
            </w:pPr>
            <w:r>
              <w:rPr>
                <w:rFonts w:eastAsia="Times New Roman" w:cs="Arial"/>
                <w:b/>
                <w:bCs/>
                <w:i/>
                <w:iCs/>
                <w:sz w:val="20"/>
              </w:rPr>
              <w:t xml:space="preserve">Local Self Government (LSG) </w:t>
            </w:r>
            <w:r w:rsidRPr="00205F93">
              <w:rPr>
                <w:rFonts w:eastAsia="Times New Roman" w:cs="Arial"/>
                <w:b/>
                <w:bCs/>
                <w:i/>
                <w:iCs/>
                <w:sz w:val="20"/>
              </w:rPr>
              <w:t xml:space="preserve"> readiness for cooperation and active participation in the Program</w:t>
            </w:r>
            <w:r>
              <w:rPr>
                <w:rFonts w:eastAsia="Times New Roman" w:cs="Arial"/>
                <w:b/>
                <w:bCs/>
                <w:i/>
                <w:iCs/>
                <w:sz w:val="20"/>
              </w:rPr>
              <w:t>me</w:t>
            </w:r>
          </w:p>
        </w:tc>
      </w:tr>
      <w:tr w:rsidR="00CA506A" w:rsidRPr="00205F93" w:rsidTr="00CA506A">
        <w:trPr>
          <w:trHeight w:val="645"/>
        </w:trPr>
        <w:tc>
          <w:tcPr>
            <w:cnfStyle w:val="001000000000"/>
            <w:tcW w:w="704" w:type="dxa"/>
            <w:hideMark/>
          </w:tcPr>
          <w:p w:rsidR="00CA506A" w:rsidRPr="00205F93" w:rsidRDefault="00CA506A" w:rsidP="00CA506A">
            <w:pPr>
              <w:spacing w:after="0" w:line="240" w:lineRule="auto"/>
              <w:jc w:val="center"/>
              <w:rPr>
                <w:rFonts w:eastAsia="Times New Roman" w:cs="Arial"/>
                <w:sz w:val="20"/>
              </w:rPr>
            </w:pPr>
            <w:r w:rsidRPr="00205F93">
              <w:rPr>
                <w:rFonts w:eastAsia="Times New Roman" w:cs="Arial"/>
                <w:sz w:val="20"/>
              </w:rPr>
              <w:t>1.1.</w:t>
            </w:r>
          </w:p>
        </w:tc>
        <w:tc>
          <w:tcPr>
            <w:tcW w:w="4112" w:type="dxa"/>
            <w:hideMark/>
          </w:tcPr>
          <w:p w:rsidR="00CA506A" w:rsidRPr="00205F93" w:rsidRDefault="00CA506A" w:rsidP="00CA506A">
            <w:pPr>
              <w:spacing w:after="0" w:line="240" w:lineRule="auto"/>
              <w:cnfStyle w:val="000000000000"/>
              <w:rPr>
                <w:rFonts w:eastAsia="Times New Roman" w:cs="Arial"/>
                <w:sz w:val="20"/>
              </w:rPr>
            </w:pPr>
            <w:r>
              <w:rPr>
                <w:sz w:val="20"/>
              </w:rPr>
              <w:t>Drafted or adopted Decision</w:t>
            </w:r>
            <w:r w:rsidRPr="00205F93">
              <w:rPr>
                <w:sz w:val="20"/>
              </w:rPr>
              <w:t xml:space="preserve"> on introducing Capital Planning Function into the LSG</w:t>
            </w:r>
            <w:r>
              <w:rPr>
                <w:sz w:val="20"/>
              </w:rPr>
              <w:t xml:space="preserve">. The decision should be adopted by the   </w:t>
            </w:r>
            <w:r w:rsidRPr="00205F93">
              <w:rPr>
                <w:sz w:val="20"/>
              </w:rPr>
              <w:t>Municipal/ City Council</w:t>
            </w:r>
            <w:r>
              <w:rPr>
                <w:sz w:val="20"/>
              </w:rPr>
              <w:t xml:space="preserve"> or Assembly</w:t>
            </w:r>
          </w:p>
        </w:tc>
        <w:tc>
          <w:tcPr>
            <w:tcW w:w="866"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1-10</w:t>
            </w:r>
          </w:p>
        </w:tc>
        <w:tc>
          <w:tcPr>
            <w:tcW w:w="1148" w:type="dxa"/>
            <w:hideMark/>
          </w:tcPr>
          <w:p w:rsidR="00CA506A" w:rsidRPr="00205F93" w:rsidRDefault="00CA506A" w:rsidP="00CA506A">
            <w:pPr>
              <w:spacing w:after="0" w:line="240" w:lineRule="auto"/>
              <w:jc w:val="center"/>
              <w:cnfStyle w:val="000000000000"/>
              <w:rPr>
                <w:rFonts w:eastAsia="Times New Roman" w:cs="Arial"/>
                <w:sz w:val="20"/>
              </w:rPr>
            </w:pPr>
            <w:r>
              <w:rPr>
                <w:rFonts w:eastAsia="Times New Roman" w:cs="Arial"/>
                <w:sz w:val="20"/>
              </w:rPr>
              <w:t>15</w:t>
            </w:r>
          </w:p>
        </w:tc>
        <w:tc>
          <w:tcPr>
            <w:tcW w:w="1104" w:type="dxa"/>
            <w:vMerge w:val="restart"/>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0.25</w:t>
            </w:r>
          </w:p>
        </w:tc>
        <w:tc>
          <w:tcPr>
            <w:tcW w:w="1579" w:type="dxa"/>
            <w:hideMark/>
          </w:tcPr>
          <w:p w:rsidR="00CA506A" w:rsidRPr="00205F93" w:rsidRDefault="00CA506A" w:rsidP="00CA506A">
            <w:pPr>
              <w:spacing w:after="0" w:line="240" w:lineRule="auto"/>
              <w:jc w:val="center"/>
              <w:cnfStyle w:val="000000000000"/>
              <w:rPr>
                <w:rFonts w:eastAsia="Times New Roman" w:cs="Arial"/>
                <w:b/>
                <w:bCs/>
                <w:sz w:val="20"/>
              </w:rPr>
            </w:pPr>
            <w:r>
              <w:rPr>
                <w:rFonts w:eastAsia="Times New Roman" w:cs="Arial"/>
                <w:b/>
                <w:bCs/>
                <w:sz w:val="20"/>
              </w:rPr>
              <w:t>3.75</w:t>
            </w:r>
          </w:p>
        </w:tc>
      </w:tr>
      <w:tr w:rsidR="00CA506A" w:rsidRPr="00205F93" w:rsidTr="00CA506A">
        <w:trPr>
          <w:trHeight w:val="435"/>
        </w:trPr>
        <w:tc>
          <w:tcPr>
            <w:cnfStyle w:val="001000000000"/>
            <w:tcW w:w="704" w:type="dxa"/>
            <w:hideMark/>
          </w:tcPr>
          <w:p w:rsidR="00CA506A" w:rsidRPr="00205F93" w:rsidRDefault="00CA506A" w:rsidP="00CA506A">
            <w:pPr>
              <w:spacing w:after="0" w:line="240" w:lineRule="auto"/>
              <w:jc w:val="center"/>
              <w:rPr>
                <w:rFonts w:eastAsia="Times New Roman" w:cs="Arial"/>
                <w:sz w:val="20"/>
              </w:rPr>
            </w:pPr>
            <w:r w:rsidRPr="00205F93">
              <w:rPr>
                <w:rFonts w:eastAsia="Times New Roman" w:cs="Arial"/>
                <w:sz w:val="20"/>
              </w:rPr>
              <w:t>1.</w:t>
            </w:r>
            <w:r>
              <w:rPr>
                <w:rFonts w:eastAsia="Times New Roman" w:cs="Arial"/>
                <w:sz w:val="20"/>
              </w:rPr>
              <w:t>2</w:t>
            </w:r>
            <w:r w:rsidRPr="00205F93">
              <w:rPr>
                <w:rFonts w:eastAsia="Times New Roman" w:cs="Arial"/>
                <w:sz w:val="20"/>
              </w:rPr>
              <w:t>.</w:t>
            </w:r>
          </w:p>
        </w:tc>
        <w:tc>
          <w:tcPr>
            <w:tcW w:w="4112" w:type="dxa"/>
            <w:hideMark/>
          </w:tcPr>
          <w:p w:rsidR="00CA506A" w:rsidRPr="00205F93" w:rsidRDefault="00CA506A" w:rsidP="00CA506A">
            <w:pPr>
              <w:spacing w:after="0" w:line="240" w:lineRule="auto"/>
              <w:contextualSpacing/>
              <w:cnfStyle w:val="000000000000"/>
              <w:rPr>
                <w:sz w:val="20"/>
              </w:rPr>
            </w:pPr>
            <w:r w:rsidRPr="00205F93">
              <w:rPr>
                <w:sz w:val="20"/>
              </w:rPr>
              <w:t>Municipal/City Working Group for Capital Investment Planning established (CIP WG)</w:t>
            </w:r>
            <w:r>
              <w:rPr>
                <w:sz w:val="20"/>
              </w:rPr>
              <w:t xml:space="preserve"> and confirmed by Mayor’s or the Municipal/ City Council decision</w:t>
            </w:r>
          </w:p>
        </w:tc>
        <w:tc>
          <w:tcPr>
            <w:tcW w:w="866"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1-10</w:t>
            </w:r>
          </w:p>
        </w:tc>
        <w:tc>
          <w:tcPr>
            <w:tcW w:w="1148" w:type="dxa"/>
            <w:hideMark/>
          </w:tcPr>
          <w:p w:rsidR="00CA506A" w:rsidRPr="00205F93" w:rsidRDefault="00CA506A" w:rsidP="00CA506A">
            <w:pPr>
              <w:spacing w:after="0" w:line="240" w:lineRule="auto"/>
              <w:jc w:val="center"/>
              <w:cnfStyle w:val="000000000000"/>
              <w:rPr>
                <w:rFonts w:eastAsia="Times New Roman" w:cs="Arial"/>
                <w:sz w:val="20"/>
              </w:rPr>
            </w:pPr>
            <w:r>
              <w:rPr>
                <w:rFonts w:eastAsia="Times New Roman" w:cs="Arial"/>
                <w:sz w:val="20"/>
              </w:rPr>
              <w:t>15</w:t>
            </w:r>
          </w:p>
        </w:tc>
        <w:tc>
          <w:tcPr>
            <w:tcW w:w="1104" w:type="dxa"/>
            <w:vMerge/>
            <w:hideMark/>
          </w:tcPr>
          <w:p w:rsidR="00CA506A" w:rsidRPr="00205F93" w:rsidRDefault="00CA506A" w:rsidP="00CA506A">
            <w:pPr>
              <w:spacing w:after="0" w:line="240" w:lineRule="auto"/>
              <w:jc w:val="center"/>
              <w:cnfStyle w:val="000000000000"/>
              <w:rPr>
                <w:rFonts w:eastAsia="Times New Roman" w:cs="Arial"/>
                <w:sz w:val="20"/>
              </w:rPr>
            </w:pPr>
          </w:p>
        </w:tc>
        <w:tc>
          <w:tcPr>
            <w:tcW w:w="1579" w:type="dxa"/>
            <w:hideMark/>
          </w:tcPr>
          <w:p w:rsidR="00CA506A" w:rsidRPr="00205F93" w:rsidRDefault="00CA506A" w:rsidP="00CA506A">
            <w:pPr>
              <w:spacing w:after="0" w:line="240" w:lineRule="auto"/>
              <w:jc w:val="center"/>
              <w:cnfStyle w:val="000000000000"/>
              <w:rPr>
                <w:rFonts w:eastAsia="Times New Roman" w:cs="Arial"/>
                <w:b/>
                <w:bCs/>
                <w:sz w:val="20"/>
              </w:rPr>
            </w:pPr>
            <w:r>
              <w:rPr>
                <w:rFonts w:eastAsia="Times New Roman" w:cs="Arial"/>
                <w:b/>
                <w:bCs/>
                <w:sz w:val="20"/>
              </w:rPr>
              <w:t>3.75</w:t>
            </w:r>
          </w:p>
        </w:tc>
      </w:tr>
      <w:tr w:rsidR="00CA506A" w:rsidRPr="00205F93" w:rsidTr="00CA506A">
        <w:trPr>
          <w:trHeight w:val="405"/>
        </w:trPr>
        <w:tc>
          <w:tcPr>
            <w:cnfStyle w:val="001000000000"/>
            <w:tcW w:w="704" w:type="dxa"/>
            <w:hideMark/>
          </w:tcPr>
          <w:p w:rsidR="00CA506A" w:rsidRPr="00205F93" w:rsidRDefault="00CA506A" w:rsidP="00CA506A">
            <w:pPr>
              <w:spacing w:after="0" w:line="240" w:lineRule="auto"/>
              <w:jc w:val="center"/>
              <w:rPr>
                <w:rFonts w:eastAsia="Times New Roman" w:cs="Arial"/>
                <w:b w:val="0"/>
                <w:bCs w:val="0"/>
                <w:sz w:val="20"/>
              </w:rPr>
            </w:pPr>
          </w:p>
        </w:tc>
        <w:tc>
          <w:tcPr>
            <w:tcW w:w="4112" w:type="dxa"/>
            <w:hideMark/>
          </w:tcPr>
          <w:p w:rsidR="00CA506A" w:rsidRPr="00205F93" w:rsidRDefault="00CA506A" w:rsidP="00CA506A">
            <w:pPr>
              <w:spacing w:after="0" w:line="240" w:lineRule="auto"/>
              <w:cnfStyle w:val="000000000000"/>
              <w:rPr>
                <w:rFonts w:eastAsia="Times New Roman" w:cs="Arial"/>
                <w:b/>
                <w:bCs/>
                <w:i/>
                <w:iCs/>
                <w:sz w:val="20"/>
              </w:rPr>
            </w:pPr>
            <w:r w:rsidRPr="00205F93">
              <w:rPr>
                <w:rFonts w:eastAsia="Times New Roman" w:cs="Arial"/>
                <w:b/>
                <w:bCs/>
                <w:i/>
                <w:iCs/>
                <w:sz w:val="20"/>
              </w:rPr>
              <w:t>Sub-total</w:t>
            </w:r>
          </w:p>
        </w:tc>
        <w:tc>
          <w:tcPr>
            <w:tcW w:w="866" w:type="dxa"/>
            <w:hideMark/>
          </w:tcPr>
          <w:p w:rsidR="00CA506A" w:rsidRPr="00205F93" w:rsidRDefault="00CA506A" w:rsidP="00CA506A">
            <w:pPr>
              <w:spacing w:after="0" w:line="240" w:lineRule="auto"/>
              <w:jc w:val="center"/>
              <w:cnfStyle w:val="000000000000"/>
              <w:rPr>
                <w:rFonts w:eastAsia="Times New Roman" w:cs="Arial"/>
                <w:b/>
                <w:bCs/>
                <w:i/>
                <w:iCs/>
                <w:sz w:val="20"/>
              </w:rPr>
            </w:pPr>
          </w:p>
        </w:tc>
        <w:tc>
          <w:tcPr>
            <w:tcW w:w="1148" w:type="dxa"/>
            <w:hideMark/>
          </w:tcPr>
          <w:p w:rsidR="00CA506A" w:rsidRPr="00205F93" w:rsidRDefault="00CA506A" w:rsidP="00CA506A">
            <w:pPr>
              <w:spacing w:after="0" w:line="240" w:lineRule="auto"/>
              <w:jc w:val="center"/>
              <w:cnfStyle w:val="000000000000"/>
              <w:rPr>
                <w:rFonts w:eastAsia="Times New Roman" w:cs="Arial"/>
                <w:b/>
                <w:bCs/>
                <w:i/>
                <w:iCs/>
                <w:sz w:val="20"/>
              </w:rPr>
            </w:pPr>
            <w:r w:rsidRPr="00205F93">
              <w:rPr>
                <w:rFonts w:eastAsia="Times New Roman" w:cs="Arial"/>
                <w:b/>
                <w:bCs/>
                <w:i/>
                <w:iCs/>
                <w:sz w:val="20"/>
              </w:rPr>
              <w:t>30</w:t>
            </w:r>
          </w:p>
        </w:tc>
        <w:tc>
          <w:tcPr>
            <w:tcW w:w="1104" w:type="dxa"/>
            <w:hideMark/>
          </w:tcPr>
          <w:p w:rsidR="00CA506A" w:rsidRPr="00205F93" w:rsidRDefault="00CA506A" w:rsidP="00CA506A">
            <w:pPr>
              <w:spacing w:after="0" w:line="240" w:lineRule="auto"/>
              <w:jc w:val="center"/>
              <w:cnfStyle w:val="000000000000"/>
              <w:rPr>
                <w:rFonts w:eastAsia="Times New Roman" w:cs="Arial"/>
                <w:b/>
                <w:bCs/>
                <w:i/>
                <w:iCs/>
                <w:sz w:val="20"/>
              </w:rPr>
            </w:pPr>
          </w:p>
        </w:tc>
        <w:tc>
          <w:tcPr>
            <w:tcW w:w="1579"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7.5</w:t>
            </w:r>
          </w:p>
        </w:tc>
      </w:tr>
      <w:tr w:rsidR="00CA506A" w:rsidRPr="00205F93" w:rsidTr="00CA506A">
        <w:trPr>
          <w:trHeight w:val="450"/>
        </w:trPr>
        <w:tc>
          <w:tcPr>
            <w:cnfStyle w:val="001000000000"/>
            <w:tcW w:w="704" w:type="dxa"/>
            <w:shd w:val="clear" w:color="auto" w:fill="DBE5F1" w:themeFill="accent1" w:themeFillTint="33"/>
            <w:hideMark/>
          </w:tcPr>
          <w:p w:rsidR="00CA506A" w:rsidRPr="00205F93" w:rsidRDefault="00CA506A" w:rsidP="00CA506A">
            <w:pPr>
              <w:spacing w:after="0" w:line="240" w:lineRule="auto"/>
              <w:jc w:val="center"/>
              <w:rPr>
                <w:rFonts w:eastAsia="Times New Roman" w:cs="Arial"/>
                <w:bCs w:val="0"/>
                <w:sz w:val="20"/>
              </w:rPr>
            </w:pPr>
            <w:r w:rsidRPr="00205F93">
              <w:rPr>
                <w:rFonts w:eastAsia="Times New Roman" w:cs="Arial"/>
                <w:bCs w:val="0"/>
                <w:sz w:val="20"/>
              </w:rPr>
              <w:t>2</w:t>
            </w:r>
          </w:p>
        </w:tc>
        <w:tc>
          <w:tcPr>
            <w:tcW w:w="8809" w:type="dxa"/>
            <w:gridSpan w:val="5"/>
            <w:shd w:val="clear" w:color="auto" w:fill="DBE5F1" w:themeFill="accent1" w:themeFillTint="33"/>
            <w:hideMark/>
          </w:tcPr>
          <w:p w:rsidR="00CA506A" w:rsidRPr="00205F93" w:rsidRDefault="00CA506A" w:rsidP="00CA506A">
            <w:pPr>
              <w:spacing w:after="0" w:line="240" w:lineRule="auto"/>
              <w:jc w:val="center"/>
              <w:cnfStyle w:val="000000000000"/>
              <w:rPr>
                <w:rFonts w:eastAsia="Times New Roman" w:cs="Arial"/>
                <w:b/>
                <w:bCs/>
                <w:i/>
                <w:iCs/>
                <w:sz w:val="20"/>
              </w:rPr>
            </w:pPr>
            <w:r w:rsidRPr="00205F93">
              <w:rPr>
                <w:rFonts w:eastAsia="Times New Roman" w:cs="Arial"/>
                <w:b/>
                <w:bCs/>
                <w:i/>
                <w:iCs/>
                <w:sz w:val="20"/>
              </w:rPr>
              <w:t>Efficiency and effectiveness of the local administration</w:t>
            </w:r>
          </w:p>
        </w:tc>
      </w:tr>
      <w:tr w:rsidR="00CA506A" w:rsidRPr="00205F93" w:rsidTr="00CA506A">
        <w:trPr>
          <w:trHeight w:val="660"/>
        </w:trPr>
        <w:tc>
          <w:tcPr>
            <w:cnfStyle w:val="001000000000"/>
            <w:tcW w:w="704" w:type="dxa"/>
            <w:hideMark/>
          </w:tcPr>
          <w:p w:rsidR="00CA506A" w:rsidRPr="00205F93" w:rsidRDefault="00CA506A" w:rsidP="00CA506A">
            <w:pPr>
              <w:spacing w:after="0" w:line="240" w:lineRule="auto"/>
              <w:jc w:val="center"/>
              <w:rPr>
                <w:rFonts w:eastAsia="Times New Roman" w:cs="Arial"/>
                <w:sz w:val="20"/>
              </w:rPr>
            </w:pPr>
            <w:r w:rsidRPr="00205F93">
              <w:rPr>
                <w:rFonts w:eastAsia="Times New Roman" w:cs="Arial"/>
                <w:sz w:val="20"/>
              </w:rPr>
              <w:t>2.1.</w:t>
            </w:r>
          </w:p>
        </w:tc>
        <w:tc>
          <w:tcPr>
            <w:tcW w:w="4112" w:type="dxa"/>
            <w:hideMark/>
          </w:tcPr>
          <w:p w:rsidR="00CA506A" w:rsidRPr="00205F93" w:rsidRDefault="00CA506A" w:rsidP="00CA506A">
            <w:pPr>
              <w:spacing w:after="0" w:line="240" w:lineRule="auto"/>
              <w:cnfStyle w:val="000000000000"/>
              <w:rPr>
                <w:rFonts w:eastAsia="Times New Roman" w:cs="Arial"/>
                <w:sz w:val="20"/>
              </w:rPr>
            </w:pPr>
            <w:r>
              <w:rPr>
                <w:sz w:val="20"/>
              </w:rPr>
              <w:t>The average number of days for issuance of construction permits to prove e</w:t>
            </w:r>
            <w:r w:rsidRPr="00205F93">
              <w:rPr>
                <w:sz w:val="20"/>
              </w:rPr>
              <w:t>ffectiveness in construction and other permits issuing</w:t>
            </w:r>
            <w:r w:rsidR="00477BFA">
              <w:rPr>
                <w:sz w:val="20"/>
              </w:rPr>
              <w:t xml:space="preserve">, </w:t>
            </w:r>
            <w:r w:rsidRPr="00205F93">
              <w:rPr>
                <w:sz w:val="20"/>
              </w:rPr>
              <w:t xml:space="preserve">percentage of construction permits per categories (business, private, public) </w:t>
            </w:r>
            <w:r>
              <w:rPr>
                <w:sz w:val="20"/>
              </w:rPr>
              <w:t xml:space="preserve">over the past </w:t>
            </w:r>
            <w:r w:rsidRPr="00205F93">
              <w:rPr>
                <w:sz w:val="20"/>
              </w:rPr>
              <w:t>three years</w:t>
            </w:r>
            <w:r>
              <w:rPr>
                <w:sz w:val="20"/>
              </w:rPr>
              <w:t>,</w:t>
            </w:r>
            <w:r w:rsidRPr="00205F93">
              <w:rPr>
                <w:sz w:val="20"/>
              </w:rPr>
              <w:t xml:space="preserve"> </w:t>
            </w:r>
            <w:r>
              <w:rPr>
                <w:sz w:val="20"/>
              </w:rPr>
              <w:t>presented by year, compared</w:t>
            </w:r>
            <w:r w:rsidRPr="00205F93">
              <w:rPr>
                <w:sz w:val="20"/>
              </w:rPr>
              <w:t xml:space="preserve"> to </w:t>
            </w:r>
            <w:r>
              <w:rPr>
                <w:sz w:val="20"/>
              </w:rPr>
              <w:t xml:space="preserve">the </w:t>
            </w:r>
            <w:r w:rsidRPr="00205F93">
              <w:rPr>
                <w:sz w:val="20"/>
              </w:rPr>
              <w:t xml:space="preserve">total number of requests in </w:t>
            </w:r>
            <w:r>
              <w:rPr>
                <w:sz w:val="20"/>
              </w:rPr>
              <w:t xml:space="preserve">the </w:t>
            </w:r>
            <w:r w:rsidRPr="00205F93">
              <w:rPr>
                <w:sz w:val="20"/>
              </w:rPr>
              <w:t>last three years; also average time for its issuing</w:t>
            </w:r>
          </w:p>
        </w:tc>
        <w:tc>
          <w:tcPr>
            <w:tcW w:w="866"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1-10</w:t>
            </w:r>
          </w:p>
        </w:tc>
        <w:tc>
          <w:tcPr>
            <w:tcW w:w="1148"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10</w:t>
            </w:r>
          </w:p>
        </w:tc>
        <w:tc>
          <w:tcPr>
            <w:tcW w:w="1104" w:type="dxa"/>
            <w:vMerge w:val="restart"/>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0.2</w:t>
            </w:r>
          </w:p>
        </w:tc>
        <w:tc>
          <w:tcPr>
            <w:tcW w:w="1579"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2.0</w:t>
            </w:r>
          </w:p>
        </w:tc>
      </w:tr>
      <w:tr w:rsidR="00CA506A" w:rsidRPr="00205F93" w:rsidTr="00CA506A">
        <w:trPr>
          <w:trHeight w:val="315"/>
        </w:trPr>
        <w:tc>
          <w:tcPr>
            <w:cnfStyle w:val="001000000000"/>
            <w:tcW w:w="704" w:type="dxa"/>
            <w:hideMark/>
          </w:tcPr>
          <w:p w:rsidR="00CA506A" w:rsidRPr="00205F93" w:rsidRDefault="00CA506A" w:rsidP="00CA506A">
            <w:pPr>
              <w:spacing w:after="0" w:line="240" w:lineRule="auto"/>
              <w:jc w:val="center"/>
              <w:rPr>
                <w:rFonts w:eastAsia="Times New Roman" w:cs="Arial"/>
                <w:sz w:val="20"/>
              </w:rPr>
            </w:pPr>
            <w:r w:rsidRPr="00205F93">
              <w:rPr>
                <w:rFonts w:eastAsia="Times New Roman" w:cs="Arial"/>
                <w:sz w:val="20"/>
              </w:rPr>
              <w:t>2.2.</w:t>
            </w:r>
          </w:p>
        </w:tc>
        <w:tc>
          <w:tcPr>
            <w:tcW w:w="4112" w:type="dxa"/>
            <w:hideMark/>
          </w:tcPr>
          <w:p w:rsidR="00CA506A" w:rsidRPr="00205F93" w:rsidRDefault="00CA506A" w:rsidP="00CA506A">
            <w:pPr>
              <w:spacing w:after="0" w:line="240" w:lineRule="auto"/>
              <w:cnfStyle w:val="000000000000"/>
              <w:rPr>
                <w:rFonts w:eastAsia="Times New Roman" w:cs="Arial"/>
                <w:sz w:val="20"/>
              </w:rPr>
            </w:pPr>
            <w:r w:rsidRPr="00205F93">
              <w:rPr>
                <w:rFonts w:eastAsia="Times New Roman" w:cs="Arial"/>
                <w:sz w:val="20"/>
              </w:rPr>
              <w:t xml:space="preserve">Local tax administration institutionalized and revenues from </w:t>
            </w:r>
            <w:r>
              <w:rPr>
                <w:rFonts w:eastAsia="Times New Roman" w:cs="Arial"/>
                <w:sz w:val="20"/>
              </w:rPr>
              <w:t xml:space="preserve">the </w:t>
            </w:r>
            <w:r w:rsidRPr="00205F93">
              <w:rPr>
                <w:rFonts w:eastAsia="Times New Roman" w:cs="Arial"/>
                <w:sz w:val="20"/>
              </w:rPr>
              <w:t xml:space="preserve">local taxes in </w:t>
            </w:r>
            <w:r>
              <w:rPr>
                <w:rFonts w:eastAsia="Times New Roman" w:cs="Arial"/>
                <w:sz w:val="20"/>
              </w:rPr>
              <w:t xml:space="preserve">the </w:t>
            </w:r>
            <w:r w:rsidRPr="00205F93">
              <w:rPr>
                <w:rFonts w:eastAsia="Times New Roman" w:cs="Arial"/>
                <w:sz w:val="20"/>
              </w:rPr>
              <w:t>last three years</w:t>
            </w:r>
          </w:p>
        </w:tc>
        <w:tc>
          <w:tcPr>
            <w:tcW w:w="866"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1-10</w:t>
            </w:r>
          </w:p>
        </w:tc>
        <w:tc>
          <w:tcPr>
            <w:tcW w:w="1148"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10</w:t>
            </w:r>
          </w:p>
        </w:tc>
        <w:tc>
          <w:tcPr>
            <w:tcW w:w="1104" w:type="dxa"/>
            <w:vMerge/>
            <w:hideMark/>
          </w:tcPr>
          <w:p w:rsidR="00CA506A" w:rsidRPr="00205F93" w:rsidRDefault="00CA506A" w:rsidP="00CA506A">
            <w:pPr>
              <w:spacing w:after="0" w:line="240" w:lineRule="auto"/>
              <w:jc w:val="center"/>
              <w:cnfStyle w:val="000000000000"/>
              <w:rPr>
                <w:rFonts w:eastAsia="Times New Roman" w:cs="Arial"/>
                <w:sz w:val="20"/>
              </w:rPr>
            </w:pPr>
          </w:p>
        </w:tc>
        <w:tc>
          <w:tcPr>
            <w:tcW w:w="1579"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2.0</w:t>
            </w:r>
          </w:p>
        </w:tc>
      </w:tr>
      <w:tr w:rsidR="00CA506A" w:rsidRPr="00205F93" w:rsidTr="00CA506A">
        <w:trPr>
          <w:trHeight w:val="615"/>
        </w:trPr>
        <w:tc>
          <w:tcPr>
            <w:cnfStyle w:val="001000000000"/>
            <w:tcW w:w="704" w:type="dxa"/>
            <w:hideMark/>
          </w:tcPr>
          <w:p w:rsidR="00CA506A" w:rsidRPr="00205F93" w:rsidRDefault="00CA506A" w:rsidP="00CA506A">
            <w:pPr>
              <w:spacing w:after="0" w:line="240" w:lineRule="auto"/>
              <w:jc w:val="center"/>
              <w:rPr>
                <w:rFonts w:eastAsia="Times New Roman" w:cs="Arial"/>
                <w:sz w:val="20"/>
              </w:rPr>
            </w:pPr>
            <w:r w:rsidRPr="00205F93">
              <w:rPr>
                <w:rFonts w:eastAsia="Times New Roman" w:cs="Arial"/>
                <w:sz w:val="20"/>
              </w:rPr>
              <w:t>2.3.</w:t>
            </w:r>
          </w:p>
        </w:tc>
        <w:tc>
          <w:tcPr>
            <w:tcW w:w="4112" w:type="dxa"/>
            <w:hideMark/>
          </w:tcPr>
          <w:p w:rsidR="00CA506A" w:rsidRPr="00205F93" w:rsidRDefault="00CA506A" w:rsidP="00CA506A">
            <w:pPr>
              <w:spacing w:after="0" w:line="240" w:lineRule="auto"/>
              <w:cnfStyle w:val="000000000000"/>
              <w:rPr>
                <w:rFonts w:eastAsia="Times New Roman" w:cs="Arial"/>
                <w:sz w:val="20"/>
              </w:rPr>
            </w:pPr>
            <w:r w:rsidRPr="00205F93">
              <w:rPr>
                <w:rFonts w:eastAsia="Times New Roman" w:cs="Arial"/>
                <w:sz w:val="20"/>
              </w:rPr>
              <w:t>Transparency of the budget process (budget public hearing held; budget information available on the website)</w:t>
            </w:r>
          </w:p>
        </w:tc>
        <w:tc>
          <w:tcPr>
            <w:tcW w:w="866"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1-10</w:t>
            </w:r>
          </w:p>
        </w:tc>
        <w:tc>
          <w:tcPr>
            <w:tcW w:w="1148"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10</w:t>
            </w:r>
          </w:p>
        </w:tc>
        <w:tc>
          <w:tcPr>
            <w:tcW w:w="1104" w:type="dxa"/>
            <w:vMerge/>
            <w:hideMark/>
          </w:tcPr>
          <w:p w:rsidR="00CA506A" w:rsidRPr="00205F93" w:rsidRDefault="00CA506A" w:rsidP="00CA506A">
            <w:pPr>
              <w:spacing w:after="0" w:line="240" w:lineRule="auto"/>
              <w:jc w:val="center"/>
              <w:cnfStyle w:val="000000000000"/>
              <w:rPr>
                <w:rFonts w:eastAsia="Times New Roman" w:cs="Arial"/>
                <w:sz w:val="20"/>
              </w:rPr>
            </w:pPr>
          </w:p>
        </w:tc>
        <w:tc>
          <w:tcPr>
            <w:tcW w:w="1579"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2.0</w:t>
            </w:r>
          </w:p>
        </w:tc>
      </w:tr>
      <w:tr w:rsidR="00CA506A" w:rsidRPr="00205F93" w:rsidTr="00CA506A">
        <w:trPr>
          <w:trHeight w:val="450"/>
        </w:trPr>
        <w:tc>
          <w:tcPr>
            <w:cnfStyle w:val="001000000000"/>
            <w:tcW w:w="704" w:type="dxa"/>
            <w:hideMark/>
          </w:tcPr>
          <w:p w:rsidR="00CA506A" w:rsidRPr="00205F93" w:rsidRDefault="00CA506A" w:rsidP="00CA506A">
            <w:pPr>
              <w:spacing w:after="0" w:line="240" w:lineRule="auto"/>
              <w:jc w:val="center"/>
              <w:rPr>
                <w:rFonts w:eastAsia="Times New Roman" w:cs="Arial"/>
                <w:b w:val="0"/>
                <w:bCs w:val="0"/>
                <w:sz w:val="20"/>
              </w:rPr>
            </w:pPr>
          </w:p>
        </w:tc>
        <w:tc>
          <w:tcPr>
            <w:tcW w:w="4112" w:type="dxa"/>
            <w:hideMark/>
          </w:tcPr>
          <w:p w:rsidR="00CA506A" w:rsidRPr="00205F93" w:rsidRDefault="00CA506A" w:rsidP="00CA506A">
            <w:pPr>
              <w:spacing w:after="0" w:line="240" w:lineRule="auto"/>
              <w:cnfStyle w:val="000000000000"/>
              <w:rPr>
                <w:rFonts w:eastAsia="Times New Roman" w:cs="Arial"/>
                <w:b/>
                <w:bCs/>
                <w:i/>
                <w:iCs/>
                <w:sz w:val="20"/>
              </w:rPr>
            </w:pPr>
            <w:r w:rsidRPr="00205F93">
              <w:rPr>
                <w:rFonts w:eastAsia="Times New Roman" w:cs="Arial"/>
                <w:b/>
                <w:bCs/>
                <w:i/>
                <w:iCs/>
                <w:sz w:val="20"/>
              </w:rPr>
              <w:t>Sub-total</w:t>
            </w:r>
          </w:p>
        </w:tc>
        <w:tc>
          <w:tcPr>
            <w:tcW w:w="866" w:type="dxa"/>
            <w:hideMark/>
          </w:tcPr>
          <w:p w:rsidR="00CA506A" w:rsidRPr="00205F93" w:rsidRDefault="00CA506A" w:rsidP="00CA506A">
            <w:pPr>
              <w:spacing w:after="0" w:line="240" w:lineRule="auto"/>
              <w:jc w:val="center"/>
              <w:cnfStyle w:val="000000000000"/>
              <w:rPr>
                <w:rFonts w:eastAsia="Times New Roman" w:cs="Arial"/>
                <w:b/>
                <w:bCs/>
                <w:i/>
                <w:iCs/>
                <w:sz w:val="20"/>
              </w:rPr>
            </w:pPr>
          </w:p>
        </w:tc>
        <w:tc>
          <w:tcPr>
            <w:tcW w:w="1148" w:type="dxa"/>
            <w:hideMark/>
          </w:tcPr>
          <w:p w:rsidR="00CA506A" w:rsidRPr="00205F93" w:rsidRDefault="00CA506A" w:rsidP="00CA506A">
            <w:pPr>
              <w:spacing w:after="0" w:line="240" w:lineRule="auto"/>
              <w:jc w:val="center"/>
              <w:cnfStyle w:val="000000000000"/>
              <w:rPr>
                <w:rFonts w:eastAsia="Times New Roman" w:cs="Arial"/>
                <w:b/>
                <w:bCs/>
                <w:i/>
                <w:iCs/>
                <w:sz w:val="20"/>
              </w:rPr>
            </w:pPr>
            <w:r w:rsidRPr="00205F93">
              <w:rPr>
                <w:rFonts w:eastAsia="Times New Roman" w:cs="Arial"/>
                <w:b/>
                <w:bCs/>
                <w:i/>
                <w:iCs/>
                <w:sz w:val="20"/>
              </w:rPr>
              <w:t>30</w:t>
            </w:r>
          </w:p>
        </w:tc>
        <w:tc>
          <w:tcPr>
            <w:tcW w:w="1104" w:type="dxa"/>
            <w:hideMark/>
          </w:tcPr>
          <w:p w:rsidR="00CA506A" w:rsidRPr="00205F93" w:rsidRDefault="00CA506A" w:rsidP="00CA506A">
            <w:pPr>
              <w:spacing w:after="0" w:line="240" w:lineRule="auto"/>
              <w:jc w:val="center"/>
              <w:cnfStyle w:val="000000000000"/>
              <w:rPr>
                <w:rFonts w:eastAsia="Times New Roman" w:cs="Arial"/>
                <w:b/>
                <w:bCs/>
                <w:i/>
                <w:iCs/>
                <w:sz w:val="20"/>
              </w:rPr>
            </w:pPr>
          </w:p>
        </w:tc>
        <w:tc>
          <w:tcPr>
            <w:tcW w:w="1579"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6.0</w:t>
            </w:r>
          </w:p>
        </w:tc>
      </w:tr>
      <w:tr w:rsidR="00CA506A" w:rsidRPr="00205F93" w:rsidTr="00CA506A">
        <w:trPr>
          <w:trHeight w:val="390"/>
        </w:trPr>
        <w:tc>
          <w:tcPr>
            <w:cnfStyle w:val="001000000000"/>
            <w:tcW w:w="704" w:type="dxa"/>
            <w:shd w:val="clear" w:color="auto" w:fill="DBE5F1" w:themeFill="accent1" w:themeFillTint="33"/>
            <w:hideMark/>
          </w:tcPr>
          <w:p w:rsidR="00CA506A" w:rsidRPr="00205F93" w:rsidRDefault="00CA506A" w:rsidP="00CA506A">
            <w:pPr>
              <w:spacing w:after="0" w:line="240" w:lineRule="auto"/>
              <w:jc w:val="center"/>
              <w:rPr>
                <w:rFonts w:eastAsia="Times New Roman" w:cs="Arial"/>
                <w:bCs w:val="0"/>
                <w:sz w:val="20"/>
              </w:rPr>
            </w:pPr>
            <w:r w:rsidRPr="00205F93">
              <w:rPr>
                <w:rFonts w:eastAsia="Times New Roman" w:cs="Arial"/>
                <w:bCs w:val="0"/>
                <w:sz w:val="20"/>
              </w:rPr>
              <w:t>3</w:t>
            </w:r>
          </w:p>
        </w:tc>
        <w:tc>
          <w:tcPr>
            <w:tcW w:w="8809" w:type="dxa"/>
            <w:gridSpan w:val="5"/>
            <w:shd w:val="clear" w:color="auto" w:fill="DBE5F1" w:themeFill="accent1" w:themeFillTint="33"/>
            <w:hideMark/>
          </w:tcPr>
          <w:p w:rsidR="00CA506A" w:rsidRPr="00205F93" w:rsidRDefault="00CA506A" w:rsidP="00CA506A">
            <w:pPr>
              <w:spacing w:after="0" w:line="240" w:lineRule="auto"/>
              <w:jc w:val="center"/>
              <w:cnfStyle w:val="000000000000"/>
              <w:rPr>
                <w:rFonts w:eastAsia="Times New Roman" w:cs="Arial"/>
                <w:b/>
                <w:bCs/>
                <w:i/>
                <w:iCs/>
                <w:sz w:val="20"/>
              </w:rPr>
            </w:pPr>
            <w:r w:rsidRPr="00205F93">
              <w:rPr>
                <w:rFonts w:eastAsia="Times New Roman" w:cs="Arial"/>
                <w:b/>
                <w:bCs/>
                <w:i/>
                <w:iCs/>
                <w:sz w:val="20"/>
              </w:rPr>
              <w:t>Organizational capacity for development</w:t>
            </w:r>
          </w:p>
        </w:tc>
      </w:tr>
      <w:tr w:rsidR="00CA506A" w:rsidRPr="00205F93" w:rsidTr="00CA506A">
        <w:trPr>
          <w:trHeight w:val="645"/>
        </w:trPr>
        <w:tc>
          <w:tcPr>
            <w:cnfStyle w:val="001000000000"/>
            <w:tcW w:w="704" w:type="dxa"/>
            <w:hideMark/>
          </w:tcPr>
          <w:p w:rsidR="00CA506A" w:rsidRPr="00205F93" w:rsidRDefault="00CA506A" w:rsidP="00CA506A">
            <w:pPr>
              <w:spacing w:after="0" w:line="240" w:lineRule="auto"/>
              <w:jc w:val="center"/>
              <w:rPr>
                <w:rFonts w:eastAsia="Times New Roman" w:cs="Arial"/>
                <w:sz w:val="20"/>
              </w:rPr>
            </w:pPr>
            <w:r w:rsidRPr="00205F93">
              <w:rPr>
                <w:rFonts w:eastAsia="Times New Roman" w:cs="Arial"/>
                <w:sz w:val="20"/>
              </w:rPr>
              <w:t>3.1.</w:t>
            </w:r>
          </w:p>
        </w:tc>
        <w:tc>
          <w:tcPr>
            <w:tcW w:w="4112" w:type="dxa"/>
            <w:hideMark/>
          </w:tcPr>
          <w:p w:rsidR="00CA506A" w:rsidRPr="00205F93" w:rsidRDefault="00CA506A" w:rsidP="00CA506A">
            <w:pPr>
              <w:spacing w:after="0" w:line="240" w:lineRule="auto"/>
              <w:cnfStyle w:val="000000000000"/>
              <w:rPr>
                <w:rFonts w:eastAsia="Times New Roman" w:cs="Arial"/>
                <w:sz w:val="20"/>
              </w:rPr>
            </w:pPr>
            <w:r w:rsidRPr="00205F93">
              <w:rPr>
                <w:rFonts w:eastAsia="Times New Roman" w:cs="Arial"/>
                <w:sz w:val="20"/>
              </w:rPr>
              <w:t xml:space="preserve">Local economic development (LED) Office established and actively involved in budget and project developing activities </w:t>
            </w:r>
          </w:p>
        </w:tc>
        <w:tc>
          <w:tcPr>
            <w:tcW w:w="866"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1-10</w:t>
            </w:r>
          </w:p>
        </w:tc>
        <w:tc>
          <w:tcPr>
            <w:tcW w:w="1148"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10</w:t>
            </w:r>
          </w:p>
        </w:tc>
        <w:tc>
          <w:tcPr>
            <w:tcW w:w="1104" w:type="dxa"/>
            <w:vMerge w:val="restart"/>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0.15</w:t>
            </w:r>
          </w:p>
        </w:tc>
        <w:tc>
          <w:tcPr>
            <w:tcW w:w="1579"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1.5</w:t>
            </w:r>
          </w:p>
        </w:tc>
      </w:tr>
      <w:tr w:rsidR="00CA506A" w:rsidRPr="00205F93" w:rsidTr="00CA506A">
        <w:trPr>
          <w:trHeight w:val="600"/>
        </w:trPr>
        <w:tc>
          <w:tcPr>
            <w:cnfStyle w:val="001000000000"/>
            <w:tcW w:w="704" w:type="dxa"/>
            <w:hideMark/>
          </w:tcPr>
          <w:p w:rsidR="00CA506A" w:rsidRPr="00205F93" w:rsidRDefault="00CA506A" w:rsidP="00CA506A">
            <w:pPr>
              <w:spacing w:after="0" w:line="240" w:lineRule="auto"/>
              <w:jc w:val="center"/>
              <w:rPr>
                <w:rFonts w:eastAsia="Times New Roman" w:cs="Arial"/>
                <w:sz w:val="20"/>
              </w:rPr>
            </w:pPr>
            <w:r w:rsidRPr="00205F93">
              <w:rPr>
                <w:rFonts w:eastAsia="Times New Roman" w:cs="Arial"/>
                <w:sz w:val="20"/>
              </w:rPr>
              <w:t>3.2.</w:t>
            </w:r>
          </w:p>
        </w:tc>
        <w:tc>
          <w:tcPr>
            <w:tcW w:w="4112" w:type="dxa"/>
            <w:hideMark/>
          </w:tcPr>
          <w:p w:rsidR="00CA506A" w:rsidRPr="00205F93" w:rsidRDefault="00CA506A" w:rsidP="00CA506A">
            <w:pPr>
              <w:spacing w:after="0" w:line="240" w:lineRule="auto"/>
              <w:cnfStyle w:val="000000000000"/>
              <w:rPr>
                <w:rFonts w:eastAsia="Times New Roman" w:cs="Arial"/>
                <w:sz w:val="20"/>
              </w:rPr>
            </w:pPr>
            <w:r w:rsidRPr="00205F93">
              <w:rPr>
                <w:rFonts w:eastAsia="Times New Roman" w:cs="Arial"/>
                <w:sz w:val="20"/>
              </w:rPr>
              <w:t xml:space="preserve">Asset management </w:t>
            </w:r>
            <w:r>
              <w:rPr>
                <w:rFonts w:eastAsia="Times New Roman" w:cs="Arial"/>
                <w:sz w:val="20"/>
              </w:rPr>
              <w:t>completed in accordance with the Law on Public Property</w:t>
            </w:r>
          </w:p>
        </w:tc>
        <w:tc>
          <w:tcPr>
            <w:tcW w:w="866"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1-10</w:t>
            </w:r>
          </w:p>
        </w:tc>
        <w:tc>
          <w:tcPr>
            <w:tcW w:w="1148"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10</w:t>
            </w:r>
          </w:p>
        </w:tc>
        <w:tc>
          <w:tcPr>
            <w:tcW w:w="1104" w:type="dxa"/>
            <w:vMerge/>
            <w:hideMark/>
          </w:tcPr>
          <w:p w:rsidR="00CA506A" w:rsidRPr="00205F93" w:rsidRDefault="00CA506A" w:rsidP="00CA506A">
            <w:pPr>
              <w:spacing w:after="0" w:line="240" w:lineRule="auto"/>
              <w:jc w:val="center"/>
              <w:cnfStyle w:val="000000000000"/>
              <w:rPr>
                <w:rFonts w:eastAsia="Times New Roman" w:cs="Arial"/>
                <w:sz w:val="20"/>
              </w:rPr>
            </w:pPr>
          </w:p>
        </w:tc>
        <w:tc>
          <w:tcPr>
            <w:tcW w:w="1579"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1.5</w:t>
            </w:r>
          </w:p>
        </w:tc>
      </w:tr>
      <w:tr w:rsidR="00CA506A" w:rsidRPr="00205F93" w:rsidTr="00CA506A">
        <w:trPr>
          <w:trHeight w:val="375"/>
        </w:trPr>
        <w:tc>
          <w:tcPr>
            <w:cnfStyle w:val="001000000000"/>
            <w:tcW w:w="704" w:type="dxa"/>
            <w:hideMark/>
          </w:tcPr>
          <w:p w:rsidR="00CA506A" w:rsidRPr="00205F93" w:rsidRDefault="00CA506A" w:rsidP="00CA506A">
            <w:pPr>
              <w:spacing w:after="0" w:line="240" w:lineRule="auto"/>
              <w:jc w:val="center"/>
              <w:rPr>
                <w:rFonts w:eastAsia="Times New Roman" w:cs="Arial"/>
                <w:sz w:val="20"/>
              </w:rPr>
            </w:pPr>
            <w:r w:rsidRPr="00205F93">
              <w:rPr>
                <w:rFonts w:eastAsia="Times New Roman" w:cs="Arial"/>
                <w:sz w:val="20"/>
              </w:rPr>
              <w:t>3.3.</w:t>
            </w:r>
          </w:p>
        </w:tc>
        <w:tc>
          <w:tcPr>
            <w:tcW w:w="4112" w:type="dxa"/>
            <w:hideMark/>
          </w:tcPr>
          <w:p w:rsidR="00CA506A" w:rsidRPr="00205F93" w:rsidRDefault="00CA506A" w:rsidP="00CA506A">
            <w:pPr>
              <w:spacing w:after="0" w:line="240" w:lineRule="auto"/>
              <w:cnfStyle w:val="000000000000"/>
              <w:rPr>
                <w:rFonts w:eastAsia="Times New Roman" w:cs="Arial"/>
                <w:sz w:val="20"/>
              </w:rPr>
            </w:pPr>
            <w:r w:rsidRPr="00205F93">
              <w:rPr>
                <w:sz w:val="20"/>
              </w:rPr>
              <w:t>The effectiveness and intensity of cooperation of local business sector and the LSG, demonstrated with regularity of joint meetings, projects implemented, and alike</w:t>
            </w:r>
          </w:p>
        </w:tc>
        <w:tc>
          <w:tcPr>
            <w:tcW w:w="866"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1-10</w:t>
            </w:r>
          </w:p>
        </w:tc>
        <w:tc>
          <w:tcPr>
            <w:tcW w:w="1148"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10</w:t>
            </w:r>
          </w:p>
        </w:tc>
        <w:tc>
          <w:tcPr>
            <w:tcW w:w="1104" w:type="dxa"/>
            <w:vMerge/>
            <w:hideMark/>
          </w:tcPr>
          <w:p w:rsidR="00CA506A" w:rsidRPr="00205F93" w:rsidRDefault="00CA506A" w:rsidP="00CA506A">
            <w:pPr>
              <w:spacing w:after="0" w:line="240" w:lineRule="auto"/>
              <w:jc w:val="center"/>
              <w:cnfStyle w:val="000000000000"/>
              <w:rPr>
                <w:rFonts w:eastAsia="Times New Roman" w:cs="Arial"/>
                <w:sz w:val="20"/>
              </w:rPr>
            </w:pPr>
          </w:p>
        </w:tc>
        <w:tc>
          <w:tcPr>
            <w:tcW w:w="1579"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1.5</w:t>
            </w:r>
          </w:p>
        </w:tc>
      </w:tr>
      <w:tr w:rsidR="00CA506A" w:rsidRPr="00205F93" w:rsidTr="00CA506A">
        <w:trPr>
          <w:trHeight w:val="405"/>
        </w:trPr>
        <w:tc>
          <w:tcPr>
            <w:cnfStyle w:val="001000000000"/>
            <w:tcW w:w="704" w:type="dxa"/>
            <w:hideMark/>
          </w:tcPr>
          <w:p w:rsidR="00CA506A" w:rsidRPr="00205F93" w:rsidRDefault="00CA506A" w:rsidP="00CA506A">
            <w:pPr>
              <w:spacing w:after="0" w:line="240" w:lineRule="auto"/>
              <w:jc w:val="center"/>
              <w:rPr>
                <w:rFonts w:eastAsia="Times New Roman" w:cs="Arial"/>
                <w:b w:val="0"/>
                <w:bCs w:val="0"/>
                <w:sz w:val="20"/>
              </w:rPr>
            </w:pPr>
          </w:p>
        </w:tc>
        <w:tc>
          <w:tcPr>
            <w:tcW w:w="4112" w:type="dxa"/>
            <w:hideMark/>
          </w:tcPr>
          <w:p w:rsidR="00CA506A" w:rsidRPr="00205F93" w:rsidRDefault="00CA506A" w:rsidP="00CA506A">
            <w:pPr>
              <w:spacing w:after="0" w:line="240" w:lineRule="auto"/>
              <w:cnfStyle w:val="000000000000"/>
              <w:rPr>
                <w:rFonts w:eastAsia="Times New Roman" w:cs="Arial"/>
                <w:b/>
                <w:bCs/>
                <w:i/>
                <w:iCs/>
                <w:sz w:val="20"/>
              </w:rPr>
            </w:pPr>
            <w:r w:rsidRPr="00205F93">
              <w:rPr>
                <w:rFonts w:eastAsia="Times New Roman" w:cs="Arial"/>
                <w:b/>
                <w:bCs/>
                <w:i/>
                <w:iCs/>
                <w:sz w:val="20"/>
              </w:rPr>
              <w:t>Sub-total</w:t>
            </w:r>
          </w:p>
        </w:tc>
        <w:tc>
          <w:tcPr>
            <w:tcW w:w="866" w:type="dxa"/>
            <w:hideMark/>
          </w:tcPr>
          <w:p w:rsidR="00CA506A" w:rsidRPr="00205F93" w:rsidRDefault="00CA506A" w:rsidP="00CA506A">
            <w:pPr>
              <w:spacing w:after="0" w:line="240" w:lineRule="auto"/>
              <w:jc w:val="center"/>
              <w:cnfStyle w:val="000000000000"/>
              <w:rPr>
                <w:rFonts w:eastAsia="Times New Roman" w:cs="Arial"/>
                <w:b/>
                <w:bCs/>
                <w:i/>
                <w:iCs/>
                <w:sz w:val="20"/>
              </w:rPr>
            </w:pPr>
          </w:p>
        </w:tc>
        <w:tc>
          <w:tcPr>
            <w:tcW w:w="1148" w:type="dxa"/>
            <w:hideMark/>
          </w:tcPr>
          <w:p w:rsidR="00CA506A" w:rsidRPr="00205F93" w:rsidRDefault="00CA506A" w:rsidP="00CA506A">
            <w:pPr>
              <w:spacing w:after="0" w:line="240" w:lineRule="auto"/>
              <w:jc w:val="center"/>
              <w:cnfStyle w:val="000000000000"/>
              <w:rPr>
                <w:rFonts w:eastAsia="Times New Roman" w:cs="Arial"/>
                <w:b/>
                <w:bCs/>
                <w:i/>
                <w:iCs/>
                <w:sz w:val="20"/>
              </w:rPr>
            </w:pPr>
            <w:r w:rsidRPr="00205F93">
              <w:rPr>
                <w:rFonts w:eastAsia="Times New Roman" w:cs="Arial"/>
                <w:b/>
                <w:bCs/>
                <w:i/>
                <w:iCs/>
                <w:sz w:val="20"/>
              </w:rPr>
              <w:t>30</w:t>
            </w:r>
          </w:p>
        </w:tc>
        <w:tc>
          <w:tcPr>
            <w:tcW w:w="1104" w:type="dxa"/>
            <w:hideMark/>
          </w:tcPr>
          <w:p w:rsidR="00CA506A" w:rsidRPr="00205F93" w:rsidRDefault="00CA506A" w:rsidP="00CA506A">
            <w:pPr>
              <w:spacing w:after="0" w:line="240" w:lineRule="auto"/>
              <w:jc w:val="center"/>
              <w:cnfStyle w:val="000000000000"/>
              <w:rPr>
                <w:rFonts w:eastAsia="Times New Roman" w:cs="Arial"/>
                <w:b/>
                <w:bCs/>
                <w:i/>
                <w:iCs/>
                <w:sz w:val="20"/>
              </w:rPr>
            </w:pPr>
          </w:p>
        </w:tc>
        <w:tc>
          <w:tcPr>
            <w:tcW w:w="1579"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4.5</w:t>
            </w:r>
          </w:p>
        </w:tc>
      </w:tr>
      <w:tr w:rsidR="00CA506A" w:rsidRPr="00205F93" w:rsidTr="00CA506A">
        <w:trPr>
          <w:trHeight w:val="435"/>
        </w:trPr>
        <w:tc>
          <w:tcPr>
            <w:cnfStyle w:val="001000000000"/>
            <w:tcW w:w="704" w:type="dxa"/>
            <w:shd w:val="clear" w:color="auto" w:fill="DBE5F1" w:themeFill="accent1" w:themeFillTint="33"/>
            <w:hideMark/>
          </w:tcPr>
          <w:p w:rsidR="00CA506A" w:rsidRPr="00205F93" w:rsidRDefault="00CA506A" w:rsidP="00CA506A">
            <w:pPr>
              <w:spacing w:after="0" w:line="240" w:lineRule="auto"/>
              <w:jc w:val="center"/>
              <w:rPr>
                <w:rFonts w:eastAsia="Times New Roman" w:cs="Arial"/>
                <w:bCs w:val="0"/>
                <w:sz w:val="20"/>
              </w:rPr>
            </w:pPr>
            <w:r w:rsidRPr="00205F93">
              <w:rPr>
                <w:rFonts w:eastAsia="Times New Roman" w:cs="Arial"/>
                <w:bCs w:val="0"/>
                <w:sz w:val="20"/>
              </w:rPr>
              <w:t>4</w:t>
            </w:r>
          </w:p>
        </w:tc>
        <w:tc>
          <w:tcPr>
            <w:tcW w:w="8809" w:type="dxa"/>
            <w:gridSpan w:val="5"/>
            <w:shd w:val="clear" w:color="auto" w:fill="DBE5F1" w:themeFill="accent1" w:themeFillTint="33"/>
            <w:hideMark/>
          </w:tcPr>
          <w:p w:rsidR="00CA506A" w:rsidRPr="00205F93" w:rsidRDefault="00CA506A" w:rsidP="00CA506A">
            <w:pPr>
              <w:spacing w:after="0" w:line="240" w:lineRule="auto"/>
              <w:jc w:val="center"/>
              <w:cnfStyle w:val="000000000000"/>
              <w:rPr>
                <w:rFonts w:eastAsia="Times New Roman" w:cs="Arial"/>
                <w:b/>
                <w:bCs/>
                <w:i/>
                <w:iCs/>
                <w:sz w:val="20"/>
              </w:rPr>
            </w:pPr>
            <w:r w:rsidRPr="00205F93">
              <w:rPr>
                <w:rFonts w:eastAsia="Times New Roman" w:cs="Arial"/>
                <w:b/>
                <w:bCs/>
                <w:i/>
                <w:iCs/>
                <w:sz w:val="20"/>
              </w:rPr>
              <w:t>Status of the key spatial and land planning documents</w:t>
            </w:r>
          </w:p>
        </w:tc>
      </w:tr>
      <w:tr w:rsidR="00CA506A" w:rsidRPr="00205F93" w:rsidTr="00CA506A">
        <w:trPr>
          <w:trHeight w:val="375"/>
        </w:trPr>
        <w:tc>
          <w:tcPr>
            <w:cnfStyle w:val="001000000000"/>
            <w:tcW w:w="704" w:type="dxa"/>
            <w:hideMark/>
          </w:tcPr>
          <w:p w:rsidR="00CA506A" w:rsidRPr="00205F93" w:rsidRDefault="00CA506A" w:rsidP="00CA506A">
            <w:pPr>
              <w:spacing w:after="0" w:line="240" w:lineRule="auto"/>
              <w:jc w:val="center"/>
              <w:rPr>
                <w:rFonts w:eastAsia="Times New Roman" w:cs="Arial"/>
                <w:sz w:val="20"/>
              </w:rPr>
            </w:pPr>
            <w:r w:rsidRPr="00205F93">
              <w:rPr>
                <w:rFonts w:eastAsia="Times New Roman" w:cs="Arial"/>
                <w:sz w:val="20"/>
              </w:rPr>
              <w:lastRenderedPageBreak/>
              <w:t>4.1.</w:t>
            </w:r>
          </w:p>
        </w:tc>
        <w:tc>
          <w:tcPr>
            <w:tcW w:w="4112" w:type="dxa"/>
            <w:hideMark/>
          </w:tcPr>
          <w:p w:rsidR="00CA506A" w:rsidRPr="00205F93" w:rsidRDefault="00CA506A" w:rsidP="00CA506A">
            <w:pPr>
              <w:spacing w:after="0" w:line="240" w:lineRule="auto"/>
              <w:cnfStyle w:val="000000000000"/>
              <w:rPr>
                <w:rFonts w:eastAsia="Times New Roman" w:cs="Arial"/>
                <w:sz w:val="20"/>
              </w:rPr>
            </w:pPr>
            <w:r w:rsidRPr="00205F93">
              <w:rPr>
                <w:sz w:val="20"/>
              </w:rPr>
              <w:t>Developed and adopted LSG strategic plans regardless of their specific titles (Strategic Development Plan, Strategy of Sustainable Development, Strategy of Local Economic Development, and alike)</w:t>
            </w:r>
          </w:p>
        </w:tc>
        <w:tc>
          <w:tcPr>
            <w:tcW w:w="866"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1-10</w:t>
            </w:r>
          </w:p>
        </w:tc>
        <w:tc>
          <w:tcPr>
            <w:tcW w:w="1148"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10</w:t>
            </w:r>
          </w:p>
        </w:tc>
        <w:tc>
          <w:tcPr>
            <w:tcW w:w="1104" w:type="dxa"/>
            <w:vMerge w:val="restart"/>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0.25</w:t>
            </w:r>
          </w:p>
        </w:tc>
        <w:tc>
          <w:tcPr>
            <w:tcW w:w="1579"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2.5</w:t>
            </w:r>
          </w:p>
        </w:tc>
      </w:tr>
      <w:tr w:rsidR="00CA506A" w:rsidRPr="00205F93" w:rsidTr="00CA506A">
        <w:trPr>
          <w:trHeight w:val="390"/>
        </w:trPr>
        <w:tc>
          <w:tcPr>
            <w:cnfStyle w:val="001000000000"/>
            <w:tcW w:w="704" w:type="dxa"/>
            <w:hideMark/>
          </w:tcPr>
          <w:p w:rsidR="00CA506A" w:rsidRPr="00205F93" w:rsidRDefault="00CA506A" w:rsidP="00CA506A">
            <w:pPr>
              <w:spacing w:after="0" w:line="240" w:lineRule="auto"/>
              <w:jc w:val="center"/>
              <w:rPr>
                <w:rFonts w:eastAsia="Times New Roman" w:cs="Arial"/>
                <w:sz w:val="20"/>
              </w:rPr>
            </w:pPr>
            <w:r w:rsidRPr="00205F93">
              <w:rPr>
                <w:rFonts w:eastAsia="Times New Roman" w:cs="Arial"/>
                <w:sz w:val="20"/>
              </w:rPr>
              <w:t>4.2.</w:t>
            </w:r>
          </w:p>
        </w:tc>
        <w:tc>
          <w:tcPr>
            <w:tcW w:w="4112" w:type="dxa"/>
            <w:hideMark/>
          </w:tcPr>
          <w:p w:rsidR="00CA506A" w:rsidRPr="00205F93" w:rsidRDefault="00CA506A" w:rsidP="00CA506A">
            <w:pPr>
              <w:spacing w:after="0" w:line="240" w:lineRule="auto"/>
              <w:cnfStyle w:val="000000000000"/>
              <w:rPr>
                <w:rFonts w:eastAsia="Times New Roman" w:cs="Arial"/>
                <w:sz w:val="20"/>
              </w:rPr>
            </w:pPr>
            <w:r w:rsidRPr="00205F93">
              <w:rPr>
                <w:sz w:val="20"/>
              </w:rPr>
              <w:t xml:space="preserve">The level of elaboration of the developed and adopted local spatial/urban plans expressed in specific indicators like </w:t>
            </w:r>
            <w:r>
              <w:rPr>
                <w:sz w:val="20"/>
              </w:rPr>
              <w:t xml:space="preserve">the </w:t>
            </w:r>
            <w:r w:rsidRPr="00205F93">
              <w:rPr>
                <w:sz w:val="20"/>
              </w:rPr>
              <w:t>degree of LSG construction land covered with the plans</w:t>
            </w:r>
          </w:p>
        </w:tc>
        <w:tc>
          <w:tcPr>
            <w:tcW w:w="866"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1-10</w:t>
            </w:r>
          </w:p>
        </w:tc>
        <w:tc>
          <w:tcPr>
            <w:tcW w:w="1148"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10</w:t>
            </w:r>
          </w:p>
        </w:tc>
        <w:tc>
          <w:tcPr>
            <w:tcW w:w="1104" w:type="dxa"/>
            <w:vMerge/>
            <w:hideMark/>
          </w:tcPr>
          <w:p w:rsidR="00CA506A" w:rsidRPr="00205F93" w:rsidRDefault="00CA506A" w:rsidP="00CA506A">
            <w:pPr>
              <w:spacing w:after="0" w:line="240" w:lineRule="auto"/>
              <w:jc w:val="center"/>
              <w:cnfStyle w:val="000000000000"/>
              <w:rPr>
                <w:rFonts w:eastAsia="Times New Roman" w:cs="Arial"/>
                <w:sz w:val="20"/>
              </w:rPr>
            </w:pPr>
          </w:p>
        </w:tc>
        <w:tc>
          <w:tcPr>
            <w:tcW w:w="1579"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2.5</w:t>
            </w:r>
          </w:p>
        </w:tc>
      </w:tr>
      <w:tr w:rsidR="00CA506A" w:rsidRPr="00205F93" w:rsidTr="00CA506A">
        <w:trPr>
          <w:trHeight w:val="945"/>
        </w:trPr>
        <w:tc>
          <w:tcPr>
            <w:cnfStyle w:val="001000000000"/>
            <w:tcW w:w="704" w:type="dxa"/>
            <w:hideMark/>
          </w:tcPr>
          <w:p w:rsidR="00CA506A" w:rsidRPr="00205F93" w:rsidRDefault="00CA506A" w:rsidP="00CA506A">
            <w:pPr>
              <w:spacing w:after="0" w:line="240" w:lineRule="auto"/>
              <w:jc w:val="center"/>
              <w:rPr>
                <w:rFonts w:eastAsia="Times New Roman" w:cs="Arial"/>
                <w:sz w:val="20"/>
              </w:rPr>
            </w:pPr>
            <w:r w:rsidRPr="00205F93">
              <w:rPr>
                <w:rFonts w:eastAsia="Times New Roman" w:cs="Arial"/>
                <w:sz w:val="20"/>
              </w:rPr>
              <w:t>4.3.</w:t>
            </w:r>
          </w:p>
        </w:tc>
        <w:tc>
          <w:tcPr>
            <w:tcW w:w="4112" w:type="dxa"/>
            <w:hideMark/>
          </w:tcPr>
          <w:p w:rsidR="00CA506A" w:rsidRPr="00205F93" w:rsidRDefault="00CA506A" w:rsidP="00CA506A">
            <w:pPr>
              <w:spacing w:after="0" w:line="240" w:lineRule="auto"/>
              <w:cnfStyle w:val="000000000000"/>
              <w:rPr>
                <w:rFonts w:eastAsia="Times New Roman" w:cs="Arial"/>
                <w:sz w:val="20"/>
              </w:rPr>
            </w:pPr>
            <w:r w:rsidRPr="00205F93">
              <w:rPr>
                <w:rFonts w:eastAsia="Times New Roman" w:cs="Arial"/>
                <w:sz w:val="20"/>
              </w:rPr>
              <w:t xml:space="preserve">Number of prepared sites for infrastructural projects </w:t>
            </w:r>
            <w:r>
              <w:rPr>
                <w:rFonts w:eastAsia="Times New Roman" w:cs="Arial"/>
                <w:sz w:val="20"/>
              </w:rPr>
              <w:t xml:space="preserve">compared to the needs of the LSG </w:t>
            </w:r>
            <w:r w:rsidRPr="00205F93">
              <w:rPr>
                <w:rFonts w:eastAsia="Times New Roman" w:cs="Arial"/>
                <w:sz w:val="20"/>
              </w:rPr>
              <w:t>and its implementation status (prepared plan/technical documentation, ownership regulated, construction permit issued or in the process of issuing)</w:t>
            </w:r>
          </w:p>
        </w:tc>
        <w:tc>
          <w:tcPr>
            <w:tcW w:w="866"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1-10</w:t>
            </w:r>
          </w:p>
        </w:tc>
        <w:tc>
          <w:tcPr>
            <w:tcW w:w="1148"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10</w:t>
            </w:r>
          </w:p>
        </w:tc>
        <w:tc>
          <w:tcPr>
            <w:tcW w:w="1104" w:type="dxa"/>
            <w:vMerge/>
            <w:hideMark/>
          </w:tcPr>
          <w:p w:rsidR="00CA506A" w:rsidRPr="00205F93" w:rsidRDefault="00CA506A" w:rsidP="00CA506A">
            <w:pPr>
              <w:spacing w:after="0" w:line="240" w:lineRule="auto"/>
              <w:jc w:val="center"/>
              <w:cnfStyle w:val="000000000000"/>
              <w:rPr>
                <w:rFonts w:eastAsia="Times New Roman" w:cs="Arial"/>
                <w:sz w:val="20"/>
              </w:rPr>
            </w:pPr>
          </w:p>
        </w:tc>
        <w:tc>
          <w:tcPr>
            <w:tcW w:w="1579"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2.5</w:t>
            </w:r>
          </w:p>
        </w:tc>
      </w:tr>
      <w:tr w:rsidR="00CA506A" w:rsidRPr="00205F93" w:rsidTr="00CA506A">
        <w:trPr>
          <w:trHeight w:val="375"/>
        </w:trPr>
        <w:tc>
          <w:tcPr>
            <w:cnfStyle w:val="001000000000"/>
            <w:tcW w:w="704" w:type="dxa"/>
            <w:hideMark/>
          </w:tcPr>
          <w:p w:rsidR="00CA506A" w:rsidRPr="00205F93" w:rsidRDefault="00CA506A" w:rsidP="00CA506A">
            <w:pPr>
              <w:spacing w:after="0" w:line="240" w:lineRule="auto"/>
              <w:jc w:val="center"/>
              <w:rPr>
                <w:rFonts w:eastAsia="Times New Roman" w:cs="Arial"/>
                <w:b w:val="0"/>
                <w:bCs w:val="0"/>
                <w:sz w:val="20"/>
              </w:rPr>
            </w:pPr>
          </w:p>
        </w:tc>
        <w:tc>
          <w:tcPr>
            <w:tcW w:w="4112" w:type="dxa"/>
            <w:hideMark/>
          </w:tcPr>
          <w:p w:rsidR="00CA506A" w:rsidRPr="00205F93" w:rsidRDefault="00CA506A" w:rsidP="00CA506A">
            <w:pPr>
              <w:spacing w:after="0" w:line="240" w:lineRule="auto"/>
              <w:cnfStyle w:val="000000000000"/>
              <w:rPr>
                <w:rFonts w:eastAsia="Times New Roman" w:cs="Arial"/>
                <w:b/>
                <w:bCs/>
                <w:i/>
                <w:iCs/>
                <w:sz w:val="20"/>
              </w:rPr>
            </w:pPr>
            <w:r w:rsidRPr="00205F93">
              <w:rPr>
                <w:rFonts w:eastAsia="Times New Roman" w:cs="Arial"/>
                <w:b/>
                <w:bCs/>
                <w:i/>
                <w:iCs/>
                <w:sz w:val="20"/>
              </w:rPr>
              <w:t>Sub-total</w:t>
            </w:r>
          </w:p>
        </w:tc>
        <w:tc>
          <w:tcPr>
            <w:tcW w:w="866" w:type="dxa"/>
            <w:hideMark/>
          </w:tcPr>
          <w:p w:rsidR="00CA506A" w:rsidRPr="00205F93" w:rsidRDefault="00CA506A" w:rsidP="00CA506A">
            <w:pPr>
              <w:spacing w:after="0" w:line="240" w:lineRule="auto"/>
              <w:jc w:val="center"/>
              <w:cnfStyle w:val="000000000000"/>
              <w:rPr>
                <w:rFonts w:eastAsia="Times New Roman" w:cs="Arial"/>
                <w:b/>
                <w:bCs/>
                <w:i/>
                <w:iCs/>
                <w:sz w:val="20"/>
              </w:rPr>
            </w:pPr>
          </w:p>
        </w:tc>
        <w:tc>
          <w:tcPr>
            <w:tcW w:w="1148" w:type="dxa"/>
            <w:hideMark/>
          </w:tcPr>
          <w:p w:rsidR="00CA506A" w:rsidRPr="00205F93" w:rsidRDefault="00CA506A" w:rsidP="00CA506A">
            <w:pPr>
              <w:spacing w:after="0" w:line="240" w:lineRule="auto"/>
              <w:jc w:val="center"/>
              <w:cnfStyle w:val="000000000000"/>
              <w:rPr>
                <w:rFonts w:eastAsia="Times New Roman" w:cs="Arial"/>
                <w:b/>
                <w:bCs/>
                <w:i/>
                <w:iCs/>
                <w:sz w:val="20"/>
              </w:rPr>
            </w:pPr>
            <w:r w:rsidRPr="00205F93">
              <w:rPr>
                <w:rFonts w:eastAsia="Times New Roman" w:cs="Arial"/>
                <w:b/>
                <w:bCs/>
                <w:i/>
                <w:iCs/>
                <w:sz w:val="20"/>
              </w:rPr>
              <w:t>30</w:t>
            </w:r>
          </w:p>
        </w:tc>
        <w:tc>
          <w:tcPr>
            <w:tcW w:w="1104" w:type="dxa"/>
            <w:hideMark/>
          </w:tcPr>
          <w:p w:rsidR="00CA506A" w:rsidRPr="00205F93" w:rsidRDefault="00CA506A" w:rsidP="00CA506A">
            <w:pPr>
              <w:spacing w:after="0" w:line="240" w:lineRule="auto"/>
              <w:jc w:val="center"/>
              <w:cnfStyle w:val="000000000000"/>
              <w:rPr>
                <w:rFonts w:eastAsia="Times New Roman" w:cs="Arial"/>
                <w:b/>
                <w:bCs/>
                <w:i/>
                <w:iCs/>
                <w:sz w:val="20"/>
              </w:rPr>
            </w:pPr>
          </w:p>
        </w:tc>
        <w:tc>
          <w:tcPr>
            <w:tcW w:w="1579"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7.5</w:t>
            </w:r>
          </w:p>
        </w:tc>
      </w:tr>
      <w:tr w:rsidR="00CA506A" w:rsidRPr="00205F93" w:rsidTr="00CA506A">
        <w:trPr>
          <w:trHeight w:val="435"/>
        </w:trPr>
        <w:tc>
          <w:tcPr>
            <w:cnfStyle w:val="001000000000"/>
            <w:tcW w:w="704" w:type="dxa"/>
            <w:shd w:val="clear" w:color="auto" w:fill="DBE5F1" w:themeFill="accent1" w:themeFillTint="33"/>
            <w:hideMark/>
          </w:tcPr>
          <w:p w:rsidR="00CA506A" w:rsidRPr="00205F93" w:rsidRDefault="00CA506A" w:rsidP="00CA506A">
            <w:pPr>
              <w:spacing w:after="0" w:line="240" w:lineRule="auto"/>
              <w:jc w:val="center"/>
              <w:rPr>
                <w:rFonts w:eastAsia="Times New Roman" w:cs="Arial"/>
                <w:bCs w:val="0"/>
                <w:sz w:val="20"/>
              </w:rPr>
            </w:pPr>
            <w:r w:rsidRPr="00205F93">
              <w:rPr>
                <w:rFonts w:eastAsia="Times New Roman" w:cs="Arial"/>
                <w:bCs w:val="0"/>
                <w:sz w:val="20"/>
              </w:rPr>
              <w:t>5</w:t>
            </w:r>
          </w:p>
        </w:tc>
        <w:tc>
          <w:tcPr>
            <w:tcW w:w="8809" w:type="dxa"/>
            <w:gridSpan w:val="5"/>
            <w:shd w:val="clear" w:color="auto" w:fill="DBE5F1" w:themeFill="accent1" w:themeFillTint="33"/>
            <w:hideMark/>
          </w:tcPr>
          <w:p w:rsidR="00CA506A" w:rsidRPr="00205F93" w:rsidRDefault="00CA506A" w:rsidP="00CA506A">
            <w:pPr>
              <w:spacing w:after="0" w:line="240" w:lineRule="auto"/>
              <w:jc w:val="center"/>
              <w:cnfStyle w:val="000000000000"/>
              <w:rPr>
                <w:rFonts w:eastAsia="Times New Roman" w:cs="Arial"/>
                <w:b/>
                <w:bCs/>
                <w:i/>
                <w:iCs/>
                <w:sz w:val="20"/>
              </w:rPr>
            </w:pPr>
            <w:r w:rsidRPr="00205F93">
              <w:rPr>
                <w:rFonts w:eastAsia="Times New Roman" w:cs="Arial"/>
                <w:b/>
                <w:bCs/>
                <w:i/>
                <w:iCs/>
                <w:sz w:val="20"/>
              </w:rPr>
              <w:t>Financial position of the LSG</w:t>
            </w:r>
          </w:p>
        </w:tc>
      </w:tr>
      <w:tr w:rsidR="00CA506A" w:rsidRPr="00205F93" w:rsidTr="00CA506A">
        <w:trPr>
          <w:trHeight w:val="375"/>
        </w:trPr>
        <w:tc>
          <w:tcPr>
            <w:cnfStyle w:val="001000000000"/>
            <w:tcW w:w="704" w:type="dxa"/>
            <w:hideMark/>
          </w:tcPr>
          <w:p w:rsidR="00CA506A" w:rsidRPr="00205F93" w:rsidRDefault="00CA506A" w:rsidP="00CA506A">
            <w:pPr>
              <w:spacing w:after="0" w:line="240" w:lineRule="auto"/>
              <w:jc w:val="center"/>
              <w:rPr>
                <w:rFonts w:eastAsia="Times New Roman" w:cs="Arial"/>
                <w:sz w:val="20"/>
              </w:rPr>
            </w:pPr>
            <w:r w:rsidRPr="00205F93">
              <w:rPr>
                <w:rFonts w:eastAsia="Times New Roman" w:cs="Arial"/>
                <w:sz w:val="20"/>
              </w:rPr>
              <w:t>5.1.</w:t>
            </w:r>
          </w:p>
        </w:tc>
        <w:tc>
          <w:tcPr>
            <w:tcW w:w="4112" w:type="dxa"/>
            <w:hideMark/>
          </w:tcPr>
          <w:p w:rsidR="00CA506A" w:rsidRPr="00205F93" w:rsidRDefault="00CA506A" w:rsidP="00CA506A">
            <w:pPr>
              <w:spacing w:after="0" w:line="240" w:lineRule="auto"/>
              <w:cnfStyle w:val="000000000000"/>
              <w:rPr>
                <w:rFonts w:eastAsia="Times New Roman" w:cs="Arial"/>
                <w:sz w:val="20"/>
              </w:rPr>
            </w:pPr>
            <w:r w:rsidRPr="00205F93">
              <w:rPr>
                <w:rFonts w:eastAsia="Times New Roman" w:cs="Arial"/>
                <w:sz w:val="20"/>
              </w:rPr>
              <w:t xml:space="preserve">Amount of (i) current and (ii) capital revenues in </w:t>
            </w:r>
            <w:r>
              <w:rPr>
                <w:rFonts w:eastAsia="Times New Roman" w:cs="Arial"/>
                <w:sz w:val="20"/>
              </w:rPr>
              <w:t xml:space="preserve">the </w:t>
            </w:r>
            <w:r w:rsidRPr="00205F93">
              <w:rPr>
                <w:rFonts w:eastAsia="Times New Roman" w:cs="Arial"/>
                <w:sz w:val="20"/>
              </w:rPr>
              <w:t xml:space="preserve">last </w:t>
            </w:r>
            <w:r>
              <w:rPr>
                <w:rFonts w:eastAsia="Times New Roman" w:cs="Arial"/>
                <w:sz w:val="20"/>
              </w:rPr>
              <w:t xml:space="preserve">three </w:t>
            </w:r>
            <w:r w:rsidRPr="00205F93">
              <w:rPr>
                <w:rFonts w:eastAsia="Times New Roman" w:cs="Arial"/>
                <w:sz w:val="20"/>
              </w:rPr>
              <w:t xml:space="preserve">budget years </w:t>
            </w:r>
          </w:p>
        </w:tc>
        <w:tc>
          <w:tcPr>
            <w:tcW w:w="866"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1-10</w:t>
            </w:r>
          </w:p>
        </w:tc>
        <w:tc>
          <w:tcPr>
            <w:tcW w:w="1148"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10</w:t>
            </w:r>
          </w:p>
        </w:tc>
        <w:tc>
          <w:tcPr>
            <w:tcW w:w="1104" w:type="dxa"/>
            <w:vMerge w:val="restart"/>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0.15</w:t>
            </w:r>
          </w:p>
        </w:tc>
        <w:tc>
          <w:tcPr>
            <w:tcW w:w="1579"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1.5</w:t>
            </w:r>
          </w:p>
        </w:tc>
      </w:tr>
      <w:tr w:rsidR="00CA506A" w:rsidRPr="00205F93" w:rsidTr="00CA506A">
        <w:trPr>
          <w:trHeight w:val="405"/>
        </w:trPr>
        <w:tc>
          <w:tcPr>
            <w:cnfStyle w:val="001000000000"/>
            <w:tcW w:w="704" w:type="dxa"/>
            <w:hideMark/>
          </w:tcPr>
          <w:p w:rsidR="00CA506A" w:rsidRPr="00205F93" w:rsidRDefault="00CA506A" w:rsidP="00CA506A">
            <w:pPr>
              <w:spacing w:after="0" w:line="240" w:lineRule="auto"/>
              <w:jc w:val="center"/>
              <w:rPr>
                <w:rFonts w:eastAsia="Times New Roman" w:cs="Arial"/>
                <w:sz w:val="20"/>
              </w:rPr>
            </w:pPr>
            <w:r w:rsidRPr="00205F93">
              <w:rPr>
                <w:rFonts w:eastAsia="Times New Roman" w:cs="Arial"/>
                <w:sz w:val="20"/>
              </w:rPr>
              <w:t>5.2.</w:t>
            </w:r>
          </w:p>
        </w:tc>
        <w:tc>
          <w:tcPr>
            <w:tcW w:w="4112" w:type="dxa"/>
            <w:hideMark/>
          </w:tcPr>
          <w:p w:rsidR="00CA506A" w:rsidRPr="00205F93" w:rsidRDefault="00CA506A" w:rsidP="00CA506A">
            <w:pPr>
              <w:spacing w:after="0" w:line="240" w:lineRule="auto"/>
              <w:cnfStyle w:val="000000000000"/>
              <w:rPr>
                <w:rFonts w:eastAsia="Times New Roman" w:cs="Arial"/>
                <w:sz w:val="20"/>
              </w:rPr>
            </w:pPr>
            <w:r w:rsidRPr="00205F93">
              <w:rPr>
                <w:rFonts w:eastAsia="Times New Roman" w:cs="Arial"/>
                <w:sz w:val="20"/>
              </w:rPr>
              <w:t xml:space="preserve">Budget net operating result in last </w:t>
            </w:r>
            <w:r>
              <w:rPr>
                <w:rFonts w:eastAsia="Times New Roman" w:cs="Arial"/>
                <w:sz w:val="20"/>
              </w:rPr>
              <w:t xml:space="preserve">three </w:t>
            </w:r>
            <w:r w:rsidRPr="00205F93">
              <w:rPr>
                <w:rFonts w:eastAsia="Times New Roman" w:cs="Arial"/>
                <w:sz w:val="20"/>
              </w:rPr>
              <w:t>budget year</w:t>
            </w:r>
          </w:p>
        </w:tc>
        <w:tc>
          <w:tcPr>
            <w:tcW w:w="866"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1-10</w:t>
            </w:r>
          </w:p>
        </w:tc>
        <w:tc>
          <w:tcPr>
            <w:tcW w:w="1148"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10</w:t>
            </w:r>
          </w:p>
        </w:tc>
        <w:tc>
          <w:tcPr>
            <w:tcW w:w="1104" w:type="dxa"/>
            <w:vMerge/>
            <w:hideMark/>
          </w:tcPr>
          <w:p w:rsidR="00CA506A" w:rsidRPr="00205F93" w:rsidRDefault="00CA506A" w:rsidP="00CA506A">
            <w:pPr>
              <w:spacing w:after="0" w:line="240" w:lineRule="auto"/>
              <w:jc w:val="center"/>
              <w:cnfStyle w:val="000000000000"/>
              <w:rPr>
                <w:rFonts w:eastAsia="Times New Roman" w:cs="Arial"/>
                <w:sz w:val="20"/>
              </w:rPr>
            </w:pPr>
          </w:p>
        </w:tc>
        <w:tc>
          <w:tcPr>
            <w:tcW w:w="1579"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1.5</w:t>
            </w:r>
          </w:p>
        </w:tc>
      </w:tr>
      <w:tr w:rsidR="00CA506A" w:rsidRPr="00205F93" w:rsidTr="00CA506A">
        <w:trPr>
          <w:trHeight w:val="375"/>
        </w:trPr>
        <w:tc>
          <w:tcPr>
            <w:cnfStyle w:val="001000000000"/>
            <w:tcW w:w="704" w:type="dxa"/>
            <w:hideMark/>
          </w:tcPr>
          <w:p w:rsidR="00CA506A" w:rsidRPr="00205F93" w:rsidRDefault="00CA506A" w:rsidP="00CA506A">
            <w:pPr>
              <w:spacing w:after="0" w:line="240" w:lineRule="auto"/>
              <w:jc w:val="center"/>
              <w:rPr>
                <w:rFonts w:eastAsia="Times New Roman" w:cs="Arial"/>
                <w:sz w:val="20"/>
              </w:rPr>
            </w:pPr>
            <w:r w:rsidRPr="00205F93">
              <w:rPr>
                <w:rFonts w:eastAsia="Times New Roman" w:cs="Arial"/>
                <w:sz w:val="20"/>
              </w:rPr>
              <w:t>5.3.</w:t>
            </w:r>
          </w:p>
        </w:tc>
        <w:tc>
          <w:tcPr>
            <w:tcW w:w="4112" w:type="dxa"/>
            <w:hideMark/>
          </w:tcPr>
          <w:p w:rsidR="00CA506A" w:rsidRPr="00205F93" w:rsidRDefault="00CA506A" w:rsidP="00CA506A">
            <w:pPr>
              <w:spacing w:after="0" w:line="240" w:lineRule="auto"/>
              <w:cnfStyle w:val="000000000000"/>
              <w:rPr>
                <w:rFonts w:eastAsia="Times New Roman" w:cs="Arial"/>
                <w:sz w:val="20"/>
              </w:rPr>
            </w:pPr>
            <w:r w:rsidRPr="00205F93">
              <w:rPr>
                <w:rFonts w:eastAsia="Times New Roman" w:cs="Arial"/>
                <w:sz w:val="20"/>
              </w:rPr>
              <w:t xml:space="preserve">c. Current indebtedness of the local budget according the legal limits </w:t>
            </w:r>
          </w:p>
        </w:tc>
        <w:tc>
          <w:tcPr>
            <w:tcW w:w="866"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1-10</w:t>
            </w:r>
          </w:p>
        </w:tc>
        <w:tc>
          <w:tcPr>
            <w:tcW w:w="1148" w:type="dxa"/>
            <w:hideMark/>
          </w:tcPr>
          <w:p w:rsidR="00CA506A" w:rsidRPr="00205F93" w:rsidRDefault="00CA506A" w:rsidP="00CA506A">
            <w:pPr>
              <w:spacing w:after="0" w:line="240" w:lineRule="auto"/>
              <w:jc w:val="center"/>
              <w:cnfStyle w:val="000000000000"/>
              <w:rPr>
                <w:rFonts w:eastAsia="Times New Roman" w:cs="Arial"/>
                <w:sz w:val="20"/>
              </w:rPr>
            </w:pPr>
            <w:r w:rsidRPr="00205F93">
              <w:rPr>
                <w:rFonts w:eastAsia="Times New Roman" w:cs="Arial"/>
                <w:sz w:val="20"/>
              </w:rPr>
              <w:t>10</w:t>
            </w:r>
          </w:p>
        </w:tc>
        <w:tc>
          <w:tcPr>
            <w:tcW w:w="1104" w:type="dxa"/>
            <w:vMerge/>
            <w:hideMark/>
          </w:tcPr>
          <w:p w:rsidR="00CA506A" w:rsidRPr="00205F93" w:rsidRDefault="00CA506A" w:rsidP="00CA506A">
            <w:pPr>
              <w:spacing w:after="0" w:line="240" w:lineRule="auto"/>
              <w:jc w:val="center"/>
              <w:cnfStyle w:val="000000000000"/>
              <w:rPr>
                <w:rFonts w:eastAsia="Times New Roman" w:cs="Arial"/>
                <w:sz w:val="20"/>
              </w:rPr>
            </w:pPr>
          </w:p>
        </w:tc>
        <w:tc>
          <w:tcPr>
            <w:tcW w:w="1579" w:type="dxa"/>
            <w:hideMark/>
          </w:tcPr>
          <w:p w:rsidR="00CA506A" w:rsidRPr="00205F93" w:rsidRDefault="00CA506A" w:rsidP="00CA506A">
            <w:pPr>
              <w:spacing w:after="0" w:line="240" w:lineRule="auto"/>
              <w:jc w:val="center"/>
              <w:cnfStyle w:val="000000000000"/>
              <w:rPr>
                <w:rFonts w:eastAsia="Times New Roman" w:cs="Arial"/>
                <w:b/>
                <w:bCs/>
                <w:sz w:val="20"/>
              </w:rPr>
            </w:pPr>
            <w:r w:rsidRPr="00205F93">
              <w:rPr>
                <w:rFonts w:eastAsia="Times New Roman" w:cs="Arial"/>
                <w:b/>
                <w:bCs/>
                <w:sz w:val="20"/>
              </w:rPr>
              <w:t>1.5</w:t>
            </w:r>
          </w:p>
        </w:tc>
      </w:tr>
      <w:tr w:rsidR="00CA506A" w:rsidRPr="00205F93" w:rsidTr="00CA506A">
        <w:trPr>
          <w:trHeight w:val="375"/>
        </w:trPr>
        <w:tc>
          <w:tcPr>
            <w:cnfStyle w:val="001000000000"/>
            <w:tcW w:w="704" w:type="dxa"/>
            <w:hideMark/>
          </w:tcPr>
          <w:p w:rsidR="00CA506A" w:rsidRPr="00205F93" w:rsidRDefault="00CA506A" w:rsidP="00CA506A">
            <w:pPr>
              <w:spacing w:after="0" w:line="240" w:lineRule="auto"/>
              <w:jc w:val="center"/>
              <w:rPr>
                <w:rFonts w:eastAsia="Times New Roman" w:cs="Arial"/>
                <w:b w:val="0"/>
                <w:bCs w:val="0"/>
                <w:sz w:val="20"/>
              </w:rPr>
            </w:pPr>
          </w:p>
        </w:tc>
        <w:tc>
          <w:tcPr>
            <w:tcW w:w="4112" w:type="dxa"/>
            <w:hideMark/>
          </w:tcPr>
          <w:p w:rsidR="00CA506A" w:rsidRPr="00205F93" w:rsidRDefault="00CA506A" w:rsidP="00CA506A">
            <w:pPr>
              <w:spacing w:after="0" w:line="240" w:lineRule="auto"/>
              <w:cnfStyle w:val="000000000000"/>
              <w:rPr>
                <w:rFonts w:eastAsia="Times New Roman" w:cs="Arial"/>
                <w:b/>
                <w:bCs/>
                <w:i/>
                <w:iCs/>
                <w:sz w:val="20"/>
              </w:rPr>
            </w:pPr>
            <w:r w:rsidRPr="00205F93">
              <w:rPr>
                <w:rFonts w:eastAsia="Times New Roman" w:cs="Arial"/>
                <w:b/>
                <w:bCs/>
                <w:i/>
                <w:iCs/>
                <w:sz w:val="20"/>
              </w:rPr>
              <w:t>Sub-total</w:t>
            </w:r>
          </w:p>
        </w:tc>
        <w:tc>
          <w:tcPr>
            <w:tcW w:w="866" w:type="dxa"/>
            <w:hideMark/>
          </w:tcPr>
          <w:p w:rsidR="00CA506A" w:rsidRPr="00205F93" w:rsidRDefault="00CA506A" w:rsidP="00CA506A">
            <w:pPr>
              <w:spacing w:after="0" w:line="240" w:lineRule="auto"/>
              <w:jc w:val="center"/>
              <w:cnfStyle w:val="000000000000"/>
              <w:rPr>
                <w:rFonts w:eastAsia="Times New Roman" w:cs="Arial"/>
                <w:b/>
                <w:bCs/>
                <w:i/>
                <w:iCs/>
                <w:sz w:val="20"/>
              </w:rPr>
            </w:pPr>
          </w:p>
        </w:tc>
        <w:tc>
          <w:tcPr>
            <w:tcW w:w="1148" w:type="dxa"/>
            <w:hideMark/>
          </w:tcPr>
          <w:p w:rsidR="00CA506A" w:rsidRPr="00205F93" w:rsidRDefault="00CA506A" w:rsidP="00CA506A">
            <w:pPr>
              <w:spacing w:after="0" w:line="240" w:lineRule="auto"/>
              <w:jc w:val="center"/>
              <w:cnfStyle w:val="000000000000"/>
              <w:rPr>
                <w:rFonts w:eastAsia="Times New Roman" w:cs="Arial"/>
                <w:b/>
                <w:bCs/>
                <w:i/>
                <w:iCs/>
                <w:sz w:val="20"/>
              </w:rPr>
            </w:pPr>
            <w:r w:rsidRPr="00205F93">
              <w:rPr>
                <w:rFonts w:eastAsia="Times New Roman" w:cs="Arial"/>
                <w:b/>
                <w:bCs/>
                <w:i/>
                <w:iCs/>
                <w:sz w:val="20"/>
              </w:rPr>
              <w:t>30</w:t>
            </w:r>
          </w:p>
        </w:tc>
        <w:tc>
          <w:tcPr>
            <w:tcW w:w="1104" w:type="dxa"/>
            <w:hideMark/>
          </w:tcPr>
          <w:p w:rsidR="00CA506A" w:rsidRPr="00205F93" w:rsidRDefault="00CA506A" w:rsidP="00CA506A">
            <w:pPr>
              <w:spacing w:after="0" w:line="240" w:lineRule="auto"/>
              <w:jc w:val="center"/>
              <w:cnfStyle w:val="000000000000"/>
              <w:rPr>
                <w:rFonts w:eastAsia="Times New Roman" w:cs="Arial"/>
                <w:b/>
                <w:bCs/>
                <w:i/>
                <w:iCs/>
                <w:sz w:val="20"/>
              </w:rPr>
            </w:pPr>
          </w:p>
        </w:tc>
        <w:tc>
          <w:tcPr>
            <w:tcW w:w="1579" w:type="dxa"/>
            <w:hideMark/>
          </w:tcPr>
          <w:p w:rsidR="00CA506A" w:rsidRPr="00205F93" w:rsidRDefault="00CA506A" w:rsidP="00CA506A">
            <w:pPr>
              <w:spacing w:after="0" w:line="240" w:lineRule="auto"/>
              <w:jc w:val="center"/>
              <w:cnfStyle w:val="000000000000"/>
              <w:rPr>
                <w:rFonts w:eastAsia="Times New Roman" w:cs="Arial"/>
                <w:b/>
                <w:bCs/>
                <w:i/>
                <w:iCs/>
                <w:sz w:val="20"/>
              </w:rPr>
            </w:pPr>
            <w:r w:rsidRPr="00205F93">
              <w:rPr>
                <w:rFonts w:eastAsia="Times New Roman" w:cs="Arial"/>
                <w:b/>
                <w:bCs/>
                <w:i/>
                <w:iCs/>
                <w:sz w:val="20"/>
              </w:rPr>
              <w:t>4.5</w:t>
            </w:r>
          </w:p>
        </w:tc>
      </w:tr>
      <w:tr w:rsidR="00CA506A" w:rsidRPr="00205F93" w:rsidTr="00CA506A">
        <w:trPr>
          <w:cnfStyle w:val="010000000000"/>
          <w:trHeight w:val="375"/>
        </w:trPr>
        <w:tc>
          <w:tcPr>
            <w:cnfStyle w:val="001000000000"/>
            <w:tcW w:w="704" w:type="dxa"/>
            <w:hideMark/>
          </w:tcPr>
          <w:p w:rsidR="00CA506A" w:rsidRPr="00205F93" w:rsidRDefault="00CA506A" w:rsidP="00CA506A">
            <w:pPr>
              <w:spacing w:after="0" w:line="240" w:lineRule="auto"/>
              <w:jc w:val="center"/>
              <w:rPr>
                <w:rFonts w:eastAsia="Times New Roman" w:cs="Arial"/>
                <w:sz w:val="20"/>
              </w:rPr>
            </w:pPr>
          </w:p>
        </w:tc>
        <w:tc>
          <w:tcPr>
            <w:tcW w:w="4112" w:type="dxa"/>
            <w:noWrap/>
            <w:hideMark/>
          </w:tcPr>
          <w:p w:rsidR="00CA506A" w:rsidRPr="00205F93" w:rsidRDefault="00CA506A" w:rsidP="00CA506A">
            <w:pPr>
              <w:spacing w:after="0" w:line="240" w:lineRule="auto"/>
              <w:jc w:val="center"/>
              <w:cnfStyle w:val="010000000000"/>
              <w:rPr>
                <w:rFonts w:eastAsia="Times New Roman" w:cs="Arial"/>
                <w:b w:val="0"/>
                <w:bCs w:val="0"/>
                <w:sz w:val="20"/>
              </w:rPr>
            </w:pPr>
            <w:r w:rsidRPr="00205F93">
              <w:rPr>
                <w:rFonts w:eastAsia="Times New Roman" w:cs="Arial"/>
                <w:b w:val="0"/>
                <w:bCs w:val="0"/>
                <w:sz w:val="20"/>
              </w:rPr>
              <w:t>TOTAL</w:t>
            </w:r>
          </w:p>
        </w:tc>
        <w:tc>
          <w:tcPr>
            <w:tcW w:w="866" w:type="dxa"/>
            <w:noWrap/>
            <w:hideMark/>
          </w:tcPr>
          <w:p w:rsidR="00CA506A" w:rsidRPr="00205F93" w:rsidRDefault="00CA506A" w:rsidP="00CA506A">
            <w:pPr>
              <w:spacing w:after="0" w:line="240" w:lineRule="auto"/>
              <w:jc w:val="center"/>
              <w:cnfStyle w:val="010000000000"/>
              <w:rPr>
                <w:rFonts w:eastAsia="Times New Roman" w:cs="Arial"/>
                <w:b w:val="0"/>
                <w:bCs w:val="0"/>
                <w:sz w:val="20"/>
              </w:rPr>
            </w:pPr>
          </w:p>
        </w:tc>
        <w:tc>
          <w:tcPr>
            <w:tcW w:w="1148" w:type="dxa"/>
            <w:hideMark/>
          </w:tcPr>
          <w:p w:rsidR="00CA506A" w:rsidRPr="00205F93" w:rsidRDefault="00CA506A" w:rsidP="00CA506A">
            <w:pPr>
              <w:spacing w:after="0" w:line="240" w:lineRule="auto"/>
              <w:jc w:val="center"/>
              <w:cnfStyle w:val="010000000000"/>
              <w:rPr>
                <w:rFonts w:eastAsia="Times New Roman" w:cs="Arial"/>
                <w:b w:val="0"/>
                <w:bCs w:val="0"/>
                <w:sz w:val="20"/>
              </w:rPr>
            </w:pPr>
            <w:r w:rsidRPr="00205F93">
              <w:rPr>
                <w:rFonts w:eastAsia="Times New Roman" w:cs="Arial"/>
                <w:b w:val="0"/>
                <w:bCs w:val="0"/>
                <w:sz w:val="20"/>
              </w:rPr>
              <w:t>150</w:t>
            </w:r>
          </w:p>
        </w:tc>
        <w:tc>
          <w:tcPr>
            <w:tcW w:w="1104" w:type="dxa"/>
            <w:hideMark/>
          </w:tcPr>
          <w:p w:rsidR="00CA506A" w:rsidRPr="00205F93" w:rsidRDefault="00CA506A" w:rsidP="00CA506A">
            <w:pPr>
              <w:spacing w:after="0" w:line="240" w:lineRule="auto"/>
              <w:jc w:val="center"/>
              <w:cnfStyle w:val="010000000000"/>
              <w:rPr>
                <w:rFonts w:eastAsia="Times New Roman" w:cs="Arial"/>
                <w:b w:val="0"/>
                <w:bCs w:val="0"/>
                <w:sz w:val="20"/>
              </w:rPr>
            </w:pPr>
            <w:r w:rsidRPr="00205F93">
              <w:rPr>
                <w:rFonts w:eastAsia="Times New Roman" w:cs="Arial"/>
                <w:b w:val="0"/>
                <w:bCs w:val="0"/>
                <w:sz w:val="20"/>
              </w:rPr>
              <w:t>1.00</w:t>
            </w:r>
          </w:p>
        </w:tc>
        <w:tc>
          <w:tcPr>
            <w:tcW w:w="1579" w:type="dxa"/>
            <w:hideMark/>
          </w:tcPr>
          <w:p w:rsidR="00CA506A" w:rsidRPr="00205F93" w:rsidRDefault="00CA506A" w:rsidP="00CA506A">
            <w:pPr>
              <w:spacing w:after="0" w:line="240" w:lineRule="auto"/>
              <w:jc w:val="center"/>
              <w:cnfStyle w:val="010000000000"/>
              <w:rPr>
                <w:rFonts w:eastAsia="Times New Roman" w:cs="Arial"/>
                <w:b w:val="0"/>
                <w:bCs w:val="0"/>
                <w:sz w:val="20"/>
              </w:rPr>
            </w:pPr>
            <w:r w:rsidRPr="00205F93">
              <w:rPr>
                <w:rFonts w:eastAsia="Times New Roman" w:cs="Arial"/>
                <w:b w:val="0"/>
                <w:bCs w:val="0"/>
                <w:sz w:val="20"/>
              </w:rPr>
              <w:t>30.0</w:t>
            </w:r>
          </w:p>
        </w:tc>
      </w:tr>
    </w:tbl>
    <w:p w:rsidR="00EF2DB9" w:rsidRPr="00C52E0A" w:rsidRDefault="00EF2DB9" w:rsidP="00CA506A">
      <w:pPr>
        <w:spacing w:after="0" w:line="240" w:lineRule="auto"/>
        <w:jc w:val="both"/>
      </w:pPr>
    </w:p>
    <w:p w:rsidR="00EA5786" w:rsidRPr="00C52E0A" w:rsidRDefault="00EF2DB9" w:rsidP="00CA506A">
      <w:pPr>
        <w:spacing w:after="0" w:line="240" w:lineRule="auto"/>
        <w:jc w:val="both"/>
      </w:pPr>
      <w:bookmarkStart w:id="1" w:name="_Toc159211906"/>
      <w:bookmarkStart w:id="2" w:name="_Toc159212662"/>
      <w:bookmarkStart w:id="3" w:name="_Toc159212881"/>
      <w:bookmarkStart w:id="4" w:name="_Toc159213197"/>
      <w:r w:rsidRPr="00C52E0A">
        <w:t xml:space="preserve">The evaluation grid provides insight into </w:t>
      </w:r>
      <w:r w:rsidR="007B04F5" w:rsidRPr="00C52E0A">
        <w:t xml:space="preserve">the </w:t>
      </w:r>
      <w:r w:rsidRPr="00C52E0A">
        <w:t xml:space="preserve">key questions that will be considered during the assessment as well as details on scoring. </w:t>
      </w:r>
    </w:p>
    <w:p w:rsidR="00EA5786" w:rsidRPr="00C52E0A" w:rsidRDefault="00EA5786" w:rsidP="00CA506A">
      <w:pPr>
        <w:spacing w:after="0" w:line="240" w:lineRule="auto"/>
        <w:jc w:val="both"/>
      </w:pPr>
    </w:p>
    <w:bookmarkEnd w:id="1"/>
    <w:bookmarkEnd w:id="2"/>
    <w:bookmarkEnd w:id="3"/>
    <w:bookmarkEnd w:id="4"/>
    <w:p w:rsidR="00EF2DB9" w:rsidRPr="00C52E0A" w:rsidRDefault="003777AB" w:rsidP="00CA506A">
      <w:pPr>
        <w:spacing w:after="0" w:line="240" w:lineRule="auto"/>
        <w:jc w:val="both"/>
      </w:pPr>
      <w:r w:rsidRPr="00C52E0A">
        <w:t xml:space="preserve">Following the evaluation, a table listing the applications ranked according to their score will be established as well as a reserve list in accordance with the same criteria. </w:t>
      </w:r>
    </w:p>
    <w:p w:rsidR="00EF2DB9" w:rsidRPr="00C52E0A" w:rsidRDefault="00EF2DB9" w:rsidP="00CA506A">
      <w:pPr>
        <w:spacing w:after="0" w:line="240" w:lineRule="auto"/>
        <w:jc w:val="both"/>
      </w:pPr>
    </w:p>
    <w:p w:rsidR="00EF2DB9" w:rsidRPr="00C52E0A" w:rsidRDefault="003777AB" w:rsidP="00CA506A">
      <w:pPr>
        <w:spacing w:after="0" w:line="240" w:lineRule="auto"/>
        <w:jc w:val="both"/>
      </w:pPr>
      <w:r w:rsidRPr="00C52E0A">
        <w:t xml:space="preserve">The eligibility of the applicant and the action will be verified according to the criteria set out in the Section </w:t>
      </w:r>
      <w:r w:rsidR="003A0ED4" w:rsidRPr="00C52E0A">
        <w:t>6</w:t>
      </w:r>
      <w:r w:rsidRPr="00C52E0A">
        <w:t xml:space="preserve">. </w:t>
      </w:r>
    </w:p>
    <w:p w:rsidR="00EF2DB9" w:rsidRPr="00C52E0A" w:rsidRDefault="00EF2DB9" w:rsidP="00CA506A">
      <w:pPr>
        <w:spacing w:after="0" w:line="240" w:lineRule="auto"/>
        <w:jc w:val="both"/>
      </w:pPr>
    </w:p>
    <w:p w:rsidR="00EF2DB9" w:rsidRPr="00C52E0A" w:rsidRDefault="003777AB" w:rsidP="00CA506A">
      <w:pPr>
        <w:spacing w:after="0" w:line="240" w:lineRule="auto"/>
        <w:jc w:val="both"/>
      </w:pPr>
      <w:r w:rsidRPr="00C52E0A">
        <w:t>Following the above analysis and if necessary, any rejected application will be replaced by the next best placed application in the reserve list that falls within the available financial envelope, which will then be examined for the eligibility of its applicant and the partners.</w:t>
      </w:r>
    </w:p>
    <w:p w:rsidR="00EF2DB9" w:rsidRPr="00C52E0A" w:rsidRDefault="00EF2DB9" w:rsidP="00CA506A">
      <w:pPr>
        <w:spacing w:after="0" w:line="240" w:lineRule="auto"/>
        <w:jc w:val="both"/>
      </w:pPr>
    </w:p>
    <w:p w:rsidR="00EF2DB9" w:rsidRPr="00C52E0A" w:rsidRDefault="00EF2DB9" w:rsidP="00CA506A">
      <w:pPr>
        <w:pStyle w:val="Heading2"/>
        <w:numPr>
          <w:ilvl w:val="0"/>
          <w:numId w:val="13"/>
        </w:numPr>
        <w:spacing w:before="0" w:line="240" w:lineRule="auto"/>
        <w:jc w:val="both"/>
        <w:rPr>
          <w:rFonts w:ascii="Calibri" w:hAnsi="Calibri"/>
          <w:sz w:val="24"/>
          <w:szCs w:val="24"/>
        </w:rPr>
      </w:pPr>
      <w:r w:rsidRPr="00C52E0A">
        <w:rPr>
          <w:rFonts w:ascii="Calibri" w:hAnsi="Calibri"/>
          <w:sz w:val="24"/>
          <w:szCs w:val="24"/>
        </w:rPr>
        <w:t>Monitoring and Reporting</w:t>
      </w:r>
    </w:p>
    <w:p w:rsidR="00EF2DB9" w:rsidRPr="00C52E0A" w:rsidRDefault="00EF2DB9" w:rsidP="00CA506A">
      <w:pPr>
        <w:pStyle w:val="Bullet1"/>
        <w:numPr>
          <w:ilvl w:val="0"/>
          <w:numId w:val="0"/>
        </w:numPr>
        <w:spacing w:before="0" w:after="0"/>
        <w:rPr>
          <w:rFonts w:ascii="Calibri" w:hAnsi="Calibri" w:cs="Calibri"/>
        </w:rPr>
      </w:pPr>
      <w:r w:rsidRPr="00C52E0A">
        <w:rPr>
          <w:rFonts w:ascii="Calibri" w:hAnsi="Calibri" w:cs="Calibri"/>
        </w:rPr>
        <w:t xml:space="preserve">The following reports will be expected from the awarded local self-governments: </w:t>
      </w:r>
    </w:p>
    <w:p w:rsidR="00EF2DB9" w:rsidRPr="00C52E0A" w:rsidRDefault="00EF2DB9" w:rsidP="00CA506A">
      <w:pPr>
        <w:numPr>
          <w:ilvl w:val="0"/>
          <w:numId w:val="8"/>
        </w:numPr>
        <w:autoSpaceDE w:val="0"/>
        <w:autoSpaceDN w:val="0"/>
        <w:adjustRightInd w:val="0"/>
        <w:spacing w:after="0" w:line="240" w:lineRule="auto"/>
        <w:contextualSpacing/>
        <w:jc w:val="both"/>
        <w:rPr>
          <w:rFonts w:cs="Calibri"/>
        </w:rPr>
      </w:pPr>
      <w:r w:rsidRPr="00C52E0A">
        <w:rPr>
          <w:rFonts w:cs="Calibri"/>
        </w:rPr>
        <w:t>Monthly progress reports (after</w:t>
      </w:r>
      <w:r w:rsidR="00BA28D4" w:rsidRPr="00C52E0A">
        <w:rPr>
          <w:rFonts w:cs="Calibri"/>
        </w:rPr>
        <w:t xml:space="preserve"> the</w:t>
      </w:r>
      <w:r w:rsidRPr="00C52E0A">
        <w:rPr>
          <w:rFonts w:cs="Calibri"/>
        </w:rPr>
        <w:t xml:space="preserve"> first month and thereafter);</w:t>
      </w:r>
    </w:p>
    <w:p w:rsidR="007D797A" w:rsidRPr="00C52E0A" w:rsidRDefault="00EF2DB9" w:rsidP="00CA506A">
      <w:pPr>
        <w:numPr>
          <w:ilvl w:val="0"/>
          <w:numId w:val="8"/>
        </w:numPr>
        <w:autoSpaceDE w:val="0"/>
        <w:autoSpaceDN w:val="0"/>
        <w:adjustRightInd w:val="0"/>
        <w:spacing w:after="0" w:line="240" w:lineRule="auto"/>
        <w:contextualSpacing/>
        <w:jc w:val="both"/>
        <w:rPr>
          <w:rFonts w:cs="Calibri"/>
        </w:rPr>
      </w:pPr>
      <w:r w:rsidRPr="00C52E0A">
        <w:rPr>
          <w:rFonts w:cs="Calibri"/>
        </w:rPr>
        <w:t>Interim reports,</w:t>
      </w:r>
      <w:r w:rsidR="007D797A" w:rsidRPr="00C52E0A">
        <w:rPr>
          <w:rFonts w:cs="Calibri"/>
        </w:rPr>
        <w:t xml:space="preserve"> as requested by the Programme;</w:t>
      </w:r>
    </w:p>
    <w:p w:rsidR="007D797A" w:rsidRPr="00C52E0A" w:rsidRDefault="007D797A" w:rsidP="00CA506A">
      <w:pPr>
        <w:numPr>
          <w:ilvl w:val="0"/>
          <w:numId w:val="8"/>
        </w:numPr>
        <w:autoSpaceDE w:val="0"/>
        <w:autoSpaceDN w:val="0"/>
        <w:adjustRightInd w:val="0"/>
        <w:spacing w:after="0" w:line="240" w:lineRule="auto"/>
        <w:contextualSpacing/>
        <w:jc w:val="both"/>
        <w:rPr>
          <w:rFonts w:cs="Calibri"/>
        </w:rPr>
      </w:pPr>
      <w:r w:rsidRPr="00C52E0A">
        <w:rPr>
          <w:rFonts w:cs="Calibri"/>
        </w:rPr>
        <w:t xml:space="preserve">Final report assessing and analysing </w:t>
      </w:r>
      <w:r w:rsidR="00BA28D4" w:rsidRPr="00C52E0A">
        <w:rPr>
          <w:rFonts w:cs="Calibri"/>
        </w:rPr>
        <w:t xml:space="preserve">the </w:t>
      </w:r>
      <w:r w:rsidRPr="00C52E0A">
        <w:rPr>
          <w:rFonts w:cs="Calibri"/>
        </w:rPr>
        <w:t>results of the intervention, covering the whole period of implementation</w:t>
      </w:r>
      <w:r w:rsidR="007835EB">
        <w:rPr>
          <w:rFonts w:cs="Calibri"/>
        </w:rPr>
        <w:t>.</w:t>
      </w:r>
    </w:p>
    <w:p w:rsidR="00EF2DB9" w:rsidRPr="00C52E0A" w:rsidRDefault="00EF2DB9" w:rsidP="00CA506A">
      <w:pPr>
        <w:pStyle w:val="Bullet1"/>
        <w:numPr>
          <w:ilvl w:val="0"/>
          <w:numId w:val="0"/>
        </w:numPr>
        <w:spacing w:before="0" w:after="0"/>
        <w:rPr>
          <w:rFonts w:ascii="Calibri" w:hAnsi="Calibri" w:cs="Calibri"/>
        </w:rPr>
      </w:pPr>
    </w:p>
    <w:p w:rsidR="00EF2DB9" w:rsidRPr="00C52E0A" w:rsidRDefault="00EF2DB9" w:rsidP="00CA506A">
      <w:pPr>
        <w:pStyle w:val="Bullet1"/>
        <w:numPr>
          <w:ilvl w:val="0"/>
          <w:numId w:val="0"/>
        </w:numPr>
        <w:spacing w:before="0" w:after="0"/>
        <w:rPr>
          <w:rFonts w:ascii="Calibri" w:hAnsi="Calibri" w:cs="Calibri"/>
        </w:rPr>
      </w:pPr>
      <w:r w:rsidRPr="00C52E0A">
        <w:rPr>
          <w:rFonts w:ascii="Calibri" w:hAnsi="Calibri" w:cs="Calibri"/>
        </w:rPr>
        <w:lastRenderedPageBreak/>
        <w:t>European PROGRES Programme will monitor implementation, and provide technical and programmatic advice as necessary and available. The local self-governments can be evaluated at any time during the project implementation.</w:t>
      </w:r>
    </w:p>
    <w:p w:rsidR="00EF2DB9" w:rsidRPr="00C52E0A" w:rsidRDefault="00EF2DB9" w:rsidP="00CA506A">
      <w:pPr>
        <w:spacing w:after="0" w:line="240" w:lineRule="auto"/>
        <w:jc w:val="both"/>
      </w:pPr>
    </w:p>
    <w:p w:rsidR="00E11ED0" w:rsidRPr="00C52E0A" w:rsidRDefault="00E11ED0" w:rsidP="00CA506A">
      <w:pPr>
        <w:pStyle w:val="Heading2"/>
        <w:numPr>
          <w:ilvl w:val="0"/>
          <w:numId w:val="13"/>
        </w:numPr>
        <w:spacing w:before="0" w:line="240" w:lineRule="auto"/>
        <w:jc w:val="both"/>
        <w:rPr>
          <w:rFonts w:ascii="Calibri" w:hAnsi="Calibri"/>
          <w:sz w:val="24"/>
          <w:szCs w:val="24"/>
        </w:rPr>
      </w:pPr>
      <w:r w:rsidRPr="00C52E0A">
        <w:rPr>
          <w:rFonts w:ascii="Calibri" w:hAnsi="Calibri"/>
          <w:sz w:val="24"/>
          <w:szCs w:val="24"/>
        </w:rPr>
        <w:t>Application Procedure</w:t>
      </w:r>
    </w:p>
    <w:p w:rsidR="00E11ED0" w:rsidRPr="00C52E0A" w:rsidRDefault="00E11ED0" w:rsidP="00CA506A">
      <w:pPr>
        <w:spacing w:after="0" w:line="240" w:lineRule="auto"/>
        <w:jc w:val="both"/>
      </w:pPr>
    </w:p>
    <w:p w:rsidR="00E11ED0" w:rsidRPr="00C52E0A" w:rsidRDefault="00E11ED0" w:rsidP="00CA506A">
      <w:pPr>
        <w:pStyle w:val="Heading4"/>
        <w:numPr>
          <w:ilvl w:val="0"/>
          <w:numId w:val="9"/>
        </w:numPr>
        <w:spacing w:before="0" w:line="240" w:lineRule="auto"/>
        <w:rPr>
          <w:rFonts w:ascii="Calibri" w:hAnsi="Calibri"/>
          <w:sz w:val="22"/>
          <w:szCs w:val="22"/>
        </w:rPr>
      </w:pPr>
      <w:bookmarkStart w:id="5" w:name="_Toc272322239"/>
      <w:r w:rsidRPr="00C52E0A">
        <w:rPr>
          <w:rFonts w:ascii="Calibri" w:hAnsi="Calibri"/>
          <w:sz w:val="22"/>
          <w:szCs w:val="22"/>
        </w:rPr>
        <w:t xml:space="preserve"> Application Form</w:t>
      </w:r>
      <w:bookmarkEnd w:id="5"/>
    </w:p>
    <w:p w:rsidR="00E11ED0" w:rsidRPr="00C52E0A" w:rsidRDefault="00E11ED0" w:rsidP="00CA506A">
      <w:pPr>
        <w:pStyle w:val="Bullet1"/>
        <w:numPr>
          <w:ilvl w:val="0"/>
          <w:numId w:val="0"/>
        </w:numPr>
        <w:spacing w:before="0" w:after="0"/>
        <w:rPr>
          <w:rFonts w:ascii="Calibri" w:hAnsi="Calibri" w:cs="Calibri"/>
          <w:szCs w:val="22"/>
        </w:rPr>
      </w:pPr>
      <w:r w:rsidRPr="00C52E0A">
        <w:rPr>
          <w:rFonts w:ascii="Calibri" w:hAnsi="Calibri" w:cs="Calibri"/>
          <w:szCs w:val="22"/>
        </w:rPr>
        <w:t xml:space="preserve">Applications must be submitted in accordance with the instructions on the Full Application Form included in the Grant Application Form annexes to this Terms of Reference (Annex A). Applications must be in English and must contain </w:t>
      </w:r>
      <w:r w:rsidR="003777AB" w:rsidRPr="00C52E0A">
        <w:rPr>
          <w:rFonts w:ascii="Calibri" w:hAnsi="Calibri" w:cs="Calibri"/>
          <w:szCs w:val="22"/>
        </w:rPr>
        <w:t>following application forms:</w:t>
      </w:r>
    </w:p>
    <w:p w:rsidR="00E11ED0" w:rsidRPr="00C52E0A" w:rsidRDefault="00E11ED0" w:rsidP="00CA506A">
      <w:pPr>
        <w:numPr>
          <w:ilvl w:val="0"/>
          <w:numId w:val="12"/>
        </w:numPr>
        <w:autoSpaceDE w:val="0"/>
        <w:autoSpaceDN w:val="0"/>
        <w:adjustRightInd w:val="0"/>
        <w:spacing w:after="0" w:line="240" w:lineRule="auto"/>
        <w:jc w:val="both"/>
        <w:rPr>
          <w:rFonts w:cs="Calibri"/>
        </w:rPr>
      </w:pPr>
      <w:r w:rsidRPr="00C52E0A">
        <w:rPr>
          <w:rFonts w:cs="Calibri"/>
        </w:rPr>
        <w:t>Annex A - Application Form</w:t>
      </w:r>
    </w:p>
    <w:p w:rsidR="00E11ED0" w:rsidRPr="00C52E0A" w:rsidRDefault="00ED3E46" w:rsidP="00CA506A">
      <w:pPr>
        <w:numPr>
          <w:ilvl w:val="0"/>
          <w:numId w:val="12"/>
        </w:numPr>
        <w:autoSpaceDE w:val="0"/>
        <w:autoSpaceDN w:val="0"/>
        <w:adjustRightInd w:val="0"/>
        <w:spacing w:after="0" w:line="240" w:lineRule="auto"/>
        <w:jc w:val="both"/>
        <w:rPr>
          <w:rFonts w:cs="Calibri"/>
        </w:rPr>
      </w:pPr>
      <w:r w:rsidRPr="00C52E0A">
        <w:rPr>
          <w:rFonts w:cs="Calibri"/>
        </w:rPr>
        <w:t xml:space="preserve">Annex B - </w:t>
      </w:r>
      <w:r w:rsidR="00E11ED0" w:rsidRPr="00C52E0A">
        <w:rPr>
          <w:rFonts w:cs="Calibri"/>
        </w:rPr>
        <w:t>Applicant Fact Sheet (attached to this Call)</w:t>
      </w:r>
    </w:p>
    <w:p w:rsidR="00ED3E46" w:rsidRPr="00C52E0A" w:rsidRDefault="00ED3E46" w:rsidP="00CA506A">
      <w:pPr>
        <w:numPr>
          <w:ilvl w:val="0"/>
          <w:numId w:val="12"/>
        </w:numPr>
        <w:autoSpaceDE w:val="0"/>
        <w:autoSpaceDN w:val="0"/>
        <w:adjustRightInd w:val="0"/>
        <w:spacing w:after="0" w:line="240" w:lineRule="auto"/>
        <w:jc w:val="both"/>
        <w:rPr>
          <w:rFonts w:cs="Calibri"/>
        </w:rPr>
      </w:pPr>
      <w:r w:rsidRPr="00C52E0A">
        <w:rPr>
          <w:rFonts w:cs="Calibri"/>
        </w:rPr>
        <w:t>Decision on appointment of the Working Group for Capital Investment Planning</w:t>
      </w:r>
      <w:r w:rsidR="007835EB">
        <w:rPr>
          <w:rFonts w:cs="Calibri"/>
        </w:rPr>
        <w:t>.</w:t>
      </w:r>
    </w:p>
    <w:p w:rsidR="00E11ED0" w:rsidRPr="00C52E0A" w:rsidRDefault="00E11ED0" w:rsidP="00CA506A">
      <w:pPr>
        <w:pStyle w:val="Bullet1"/>
        <w:numPr>
          <w:ilvl w:val="0"/>
          <w:numId w:val="0"/>
        </w:numPr>
        <w:spacing w:before="0" w:after="0"/>
        <w:rPr>
          <w:rFonts w:ascii="Calibri" w:hAnsi="Calibri" w:cs="Calibri"/>
          <w:szCs w:val="22"/>
        </w:rPr>
      </w:pPr>
    </w:p>
    <w:p w:rsidR="00490764" w:rsidRPr="00C52E0A" w:rsidRDefault="003777AB" w:rsidP="00CA506A">
      <w:pPr>
        <w:pStyle w:val="Bullet1"/>
        <w:numPr>
          <w:ilvl w:val="0"/>
          <w:numId w:val="0"/>
        </w:numPr>
        <w:spacing w:before="0" w:after="0"/>
        <w:rPr>
          <w:rFonts w:ascii="Calibri" w:hAnsi="Calibri" w:cs="Calibri"/>
          <w:szCs w:val="22"/>
        </w:rPr>
      </w:pPr>
      <w:r w:rsidRPr="00C52E0A">
        <w:rPr>
          <w:rFonts w:ascii="Calibri" w:hAnsi="Calibri" w:cs="Calibri"/>
          <w:szCs w:val="22"/>
        </w:rPr>
        <w:t xml:space="preserve">Please note that only the </w:t>
      </w:r>
      <w:r w:rsidR="00490764" w:rsidRPr="00C52E0A">
        <w:rPr>
          <w:rFonts w:ascii="Calibri" w:hAnsi="Calibri" w:cs="Calibri"/>
          <w:szCs w:val="22"/>
        </w:rPr>
        <w:t>above listed documents w</w:t>
      </w:r>
      <w:r w:rsidRPr="00C52E0A">
        <w:rPr>
          <w:rFonts w:ascii="Calibri" w:hAnsi="Calibri" w:cs="Calibri"/>
          <w:szCs w:val="22"/>
        </w:rPr>
        <w:t>ill be evaluated. It is therefore of the utmost importance that these documents contain all relevant information concerning the action. No additional annexes should be sent.</w:t>
      </w:r>
      <w:r w:rsidR="00490764" w:rsidRPr="00C52E0A">
        <w:rPr>
          <w:rFonts w:ascii="Calibri" w:hAnsi="Calibri" w:cs="Calibri"/>
          <w:szCs w:val="22"/>
        </w:rPr>
        <w:t xml:space="preserve"> Hand-written applications will not be accepted.</w:t>
      </w:r>
    </w:p>
    <w:p w:rsidR="00E11ED0" w:rsidRPr="00C52E0A" w:rsidRDefault="00E11ED0" w:rsidP="00CA506A">
      <w:pPr>
        <w:pStyle w:val="Bullet1"/>
        <w:numPr>
          <w:ilvl w:val="0"/>
          <w:numId w:val="0"/>
        </w:numPr>
        <w:spacing w:before="0" w:after="0"/>
        <w:rPr>
          <w:rFonts w:ascii="Calibri" w:hAnsi="Calibri" w:cs="Calibri"/>
          <w:szCs w:val="22"/>
        </w:rPr>
      </w:pPr>
    </w:p>
    <w:p w:rsidR="00E11ED0" w:rsidRPr="00C52E0A" w:rsidRDefault="003777AB" w:rsidP="00CA506A">
      <w:pPr>
        <w:pStyle w:val="Heading4"/>
        <w:numPr>
          <w:ilvl w:val="0"/>
          <w:numId w:val="9"/>
        </w:numPr>
        <w:spacing w:before="0" w:line="240" w:lineRule="auto"/>
        <w:rPr>
          <w:rFonts w:ascii="Calibri" w:hAnsi="Calibri"/>
          <w:sz w:val="22"/>
          <w:szCs w:val="22"/>
        </w:rPr>
      </w:pPr>
      <w:bookmarkStart w:id="6" w:name="_Toc272322240"/>
      <w:r w:rsidRPr="00C52E0A">
        <w:rPr>
          <w:rFonts w:ascii="Calibri" w:hAnsi="Calibri"/>
          <w:sz w:val="22"/>
          <w:szCs w:val="22"/>
        </w:rPr>
        <w:t xml:space="preserve"> Where and How to Send the Applications</w:t>
      </w:r>
      <w:bookmarkEnd w:id="6"/>
    </w:p>
    <w:p w:rsidR="00E11ED0" w:rsidRPr="00C52E0A" w:rsidRDefault="003777AB" w:rsidP="00CA506A">
      <w:pPr>
        <w:autoSpaceDE w:val="0"/>
        <w:autoSpaceDN w:val="0"/>
        <w:adjustRightInd w:val="0"/>
        <w:spacing w:after="0" w:line="240" w:lineRule="auto"/>
        <w:jc w:val="both"/>
        <w:rPr>
          <w:lang w:eastAsia="en-GB"/>
        </w:rPr>
      </w:pPr>
      <w:r w:rsidRPr="00C52E0A">
        <w:rPr>
          <w:lang w:eastAsia="en-GB"/>
        </w:rPr>
        <w:t xml:space="preserve">Applications must be submitted in one original and one copy in A4 size, in English only, each bound. The complete application form must also be supplied in electronic format (CD-ROM) in a separate and unique file (e.g. the application form must not be split into several different files). </w:t>
      </w:r>
      <w:r w:rsidRPr="00C52E0A">
        <w:t xml:space="preserve">The electronic format must contain exactly the same application as the </w:t>
      </w:r>
      <w:r w:rsidR="00383B3E">
        <w:t xml:space="preserve">submitted </w:t>
      </w:r>
      <w:r w:rsidRPr="00C52E0A">
        <w:t>paper version</w:t>
      </w:r>
      <w:r w:rsidR="00383B3E">
        <w:t>.</w:t>
      </w:r>
    </w:p>
    <w:p w:rsidR="00490764" w:rsidRPr="00C52E0A" w:rsidRDefault="00490764" w:rsidP="00CA506A">
      <w:pPr>
        <w:autoSpaceDE w:val="0"/>
        <w:autoSpaceDN w:val="0"/>
        <w:adjustRightInd w:val="0"/>
        <w:spacing w:after="0" w:line="240" w:lineRule="auto"/>
        <w:jc w:val="both"/>
      </w:pPr>
    </w:p>
    <w:p w:rsidR="00E11ED0" w:rsidRPr="00C52E0A" w:rsidRDefault="003777AB" w:rsidP="00CA506A">
      <w:pPr>
        <w:autoSpaceDE w:val="0"/>
        <w:autoSpaceDN w:val="0"/>
        <w:adjustRightInd w:val="0"/>
        <w:spacing w:after="0" w:line="240" w:lineRule="auto"/>
        <w:jc w:val="both"/>
      </w:pPr>
      <w:r w:rsidRPr="00C52E0A">
        <w:t>The envelope must bear the following information:</w:t>
      </w:r>
    </w:p>
    <w:p w:rsidR="00E11ED0" w:rsidRPr="00C52E0A" w:rsidRDefault="00E11ED0" w:rsidP="00CA506A">
      <w:pPr>
        <w:pStyle w:val="Text1"/>
        <w:spacing w:after="0"/>
        <w:ind w:left="0" w:firstLine="0"/>
        <w:rPr>
          <w:rFonts w:ascii="Calibri" w:hAnsi="Calibri"/>
          <w:sz w:val="22"/>
          <w:szCs w:val="22"/>
          <w:highlight w:val="lightGray"/>
        </w:rPr>
      </w:pPr>
    </w:p>
    <w:p w:rsidR="00E11ED0" w:rsidRPr="00C52E0A" w:rsidRDefault="003777AB" w:rsidP="00CA506A">
      <w:pPr>
        <w:numPr>
          <w:ilvl w:val="0"/>
          <w:numId w:val="10"/>
        </w:numPr>
        <w:tabs>
          <w:tab w:val="left" w:pos="340"/>
        </w:tabs>
        <w:autoSpaceDE w:val="0"/>
        <w:autoSpaceDN w:val="0"/>
        <w:adjustRightInd w:val="0"/>
        <w:spacing w:after="0" w:line="240" w:lineRule="auto"/>
        <w:jc w:val="both"/>
      </w:pPr>
      <w:r w:rsidRPr="00C52E0A">
        <w:t xml:space="preserve">Reference numbers of the </w:t>
      </w:r>
      <w:r w:rsidR="00490764" w:rsidRPr="00C52E0A">
        <w:t>public call</w:t>
      </w:r>
      <w:r w:rsidRPr="00C52E0A">
        <w:t xml:space="preserve">, </w:t>
      </w:r>
    </w:p>
    <w:p w:rsidR="00E11ED0" w:rsidRPr="00C52E0A" w:rsidRDefault="003777AB" w:rsidP="00CA506A">
      <w:pPr>
        <w:numPr>
          <w:ilvl w:val="0"/>
          <w:numId w:val="10"/>
        </w:numPr>
        <w:tabs>
          <w:tab w:val="left" w:pos="340"/>
        </w:tabs>
        <w:autoSpaceDE w:val="0"/>
        <w:autoSpaceDN w:val="0"/>
        <w:adjustRightInd w:val="0"/>
        <w:spacing w:after="0" w:line="240" w:lineRule="auto"/>
        <w:jc w:val="both"/>
      </w:pPr>
      <w:r w:rsidRPr="00C52E0A">
        <w:t xml:space="preserve">The full name and address of the applicant, and </w:t>
      </w:r>
    </w:p>
    <w:p w:rsidR="00E11ED0" w:rsidRPr="00C52E0A" w:rsidRDefault="003777AB" w:rsidP="00CA506A">
      <w:pPr>
        <w:numPr>
          <w:ilvl w:val="0"/>
          <w:numId w:val="10"/>
        </w:numPr>
        <w:tabs>
          <w:tab w:val="left" w:pos="340"/>
        </w:tabs>
        <w:autoSpaceDE w:val="0"/>
        <w:autoSpaceDN w:val="0"/>
        <w:adjustRightInd w:val="0"/>
        <w:spacing w:after="0" w:line="240" w:lineRule="auto"/>
        <w:jc w:val="both"/>
      </w:pPr>
      <w:r w:rsidRPr="00C52E0A">
        <w:t>The words ‘’Not to be opened before the opening session" and "NE OTVARATI PRE ZVANIČNOG OTVARANJA PRIJAVA”.</w:t>
      </w:r>
    </w:p>
    <w:p w:rsidR="00E11ED0" w:rsidRPr="00C52E0A" w:rsidRDefault="00E11ED0" w:rsidP="00CA506A">
      <w:pPr>
        <w:spacing w:after="0" w:line="240" w:lineRule="auto"/>
        <w:jc w:val="both"/>
      </w:pPr>
    </w:p>
    <w:p w:rsidR="00E11ED0" w:rsidRPr="00C52E0A" w:rsidRDefault="003777AB" w:rsidP="00CA506A">
      <w:pPr>
        <w:spacing w:after="0" w:line="240" w:lineRule="auto"/>
        <w:jc w:val="both"/>
      </w:pPr>
      <w:r w:rsidRPr="00C52E0A">
        <w:t>Applications must be submitted in a sealed envelope by registered mail, private courier service or by hand-delivery (a signed and dated certificate of receipt will be given to the deliverer) at one of the addresses given below before the stated deadline:</w:t>
      </w:r>
    </w:p>
    <w:p w:rsidR="00E11ED0" w:rsidRPr="00C52E0A" w:rsidRDefault="00E11ED0" w:rsidP="00CA506A">
      <w:pPr>
        <w:spacing w:after="0" w:line="240" w:lineRule="auto"/>
        <w:rPr>
          <w:rFonts w:eastAsia="Times New Roman"/>
          <w:b/>
          <w:bCs/>
        </w:rPr>
      </w:pPr>
    </w:p>
    <w:p w:rsidR="00E11ED0" w:rsidRPr="00C52E0A" w:rsidRDefault="003777AB" w:rsidP="00CA506A">
      <w:pPr>
        <w:spacing w:after="0" w:line="240" w:lineRule="auto"/>
        <w:rPr>
          <w:rFonts w:eastAsia="Times New Roman"/>
          <w:b/>
          <w:bCs/>
        </w:rPr>
      </w:pPr>
      <w:r w:rsidRPr="00C52E0A">
        <w:rPr>
          <w:rFonts w:eastAsia="Times New Roman"/>
          <w:b/>
          <w:bCs/>
        </w:rPr>
        <w:t xml:space="preserve">European PROGRES </w:t>
      </w:r>
    </w:p>
    <w:p w:rsidR="00E11ED0" w:rsidRPr="00C52E0A" w:rsidRDefault="003777AB" w:rsidP="00CA506A">
      <w:pPr>
        <w:spacing w:after="0" w:line="240" w:lineRule="auto"/>
        <w:rPr>
          <w:rFonts w:eastAsia="Times New Roman"/>
        </w:rPr>
      </w:pPr>
      <w:proofErr w:type="spellStart"/>
      <w:r w:rsidRPr="00C52E0A">
        <w:rPr>
          <w:rFonts w:eastAsia="Times New Roman"/>
        </w:rPr>
        <w:t>Borivoja</w:t>
      </w:r>
      <w:proofErr w:type="spellEnd"/>
      <w:r w:rsidRPr="00C52E0A">
        <w:rPr>
          <w:rFonts w:eastAsia="Times New Roman"/>
        </w:rPr>
        <w:t xml:space="preserve"> </w:t>
      </w:r>
      <w:proofErr w:type="spellStart"/>
      <w:r w:rsidRPr="00C52E0A">
        <w:rPr>
          <w:rFonts w:eastAsia="Times New Roman"/>
        </w:rPr>
        <w:t>Gojkovića</w:t>
      </w:r>
      <w:proofErr w:type="spellEnd"/>
      <w:r w:rsidRPr="00C52E0A">
        <w:rPr>
          <w:rFonts w:eastAsia="Times New Roman"/>
        </w:rPr>
        <w:t xml:space="preserve"> 7, </w:t>
      </w:r>
    </w:p>
    <w:p w:rsidR="00457BA4" w:rsidRPr="00C52E0A" w:rsidRDefault="003777AB" w:rsidP="00CA506A">
      <w:pPr>
        <w:spacing w:after="120" w:line="240" w:lineRule="auto"/>
        <w:rPr>
          <w:rFonts w:eastAsia="Times New Roman"/>
        </w:rPr>
      </w:pPr>
      <w:r w:rsidRPr="00C52E0A">
        <w:rPr>
          <w:rFonts w:eastAsia="Times New Roman"/>
        </w:rPr>
        <w:t xml:space="preserve">18000 Niš, Republic of Serbia </w:t>
      </w:r>
    </w:p>
    <w:p w:rsidR="00457BA4" w:rsidRPr="00C52E0A" w:rsidRDefault="003777AB" w:rsidP="000C6E69">
      <w:pPr>
        <w:spacing w:after="120" w:line="240" w:lineRule="auto"/>
        <w:rPr>
          <w:rFonts w:eastAsia="Times New Roman"/>
        </w:rPr>
      </w:pPr>
      <w:proofErr w:type="gramStart"/>
      <w:r w:rsidRPr="00C52E0A">
        <w:rPr>
          <w:rFonts w:eastAsia="Times New Roman"/>
        </w:rPr>
        <w:t>or</w:t>
      </w:r>
      <w:proofErr w:type="gramEnd"/>
    </w:p>
    <w:p w:rsidR="00E11ED0" w:rsidRPr="00C52E0A" w:rsidRDefault="003777AB" w:rsidP="00CA506A">
      <w:pPr>
        <w:spacing w:after="0" w:line="240" w:lineRule="auto"/>
        <w:rPr>
          <w:rFonts w:eastAsia="Times New Roman"/>
        </w:rPr>
      </w:pPr>
      <w:proofErr w:type="spellStart"/>
      <w:r w:rsidRPr="00C52E0A">
        <w:rPr>
          <w:rFonts w:eastAsia="Times New Roman"/>
        </w:rPr>
        <w:t>Kragujevačka</w:t>
      </w:r>
      <w:proofErr w:type="spellEnd"/>
      <w:r w:rsidRPr="00C52E0A">
        <w:rPr>
          <w:rFonts w:eastAsia="Times New Roman"/>
        </w:rPr>
        <w:t xml:space="preserve"> 1,</w:t>
      </w:r>
    </w:p>
    <w:p w:rsidR="00E11ED0" w:rsidRPr="00C52E0A" w:rsidRDefault="003777AB" w:rsidP="000C6E69">
      <w:pPr>
        <w:spacing w:after="120" w:line="240" w:lineRule="auto"/>
        <w:rPr>
          <w:rFonts w:eastAsia="Times New Roman"/>
        </w:rPr>
      </w:pPr>
      <w:r w:rsidRPr="00C52E0A">
        <w:rPr>
          <w:rFonts w:eastAsia="Times New Roman"/>
        </w:rPr>
        <w:t xml:space="preserve">36300 Novi Pazar, Republic of Serbia </w:t>
      </w:r>
    </w:p>
    <w:p w:rsidR="00E11ED0" w:rsidRPr="00C52E0A" w:rsidRDefault="003777AB" w:rsidP="000C6E69">
      <w:pPr>
        <w:spacing w:after="120" w:line="240" w:lineRule="auto"/>
        <w:rPr>
          <w:rFonts w:eastAsia="Times New Roman"/>
        </w:rPr>
      </w:pPr>
      <w:proofErr w:type="gramStart"/>
      <w:r w:rsidRPr="00C52E0A">
        <w:rPr>
          <w:rFonts w:eastAsia="Times New Roman"/>
        </w:rPr>
        <w:t>or</w:t>
      </w:r>
      <w:proofErr w:type="gramEnd"/>
    </w:p>
    <w:p w:rsidR="00E11ED0" w:rsidRPr="00C52E0A" w:rsidRDefault="003777AB" w:rsidP="00CA506A">
      <w:pPr>
        <w:spacing w:after="0" w:line="240" w:lineRule="auto"/>
        <w:rPr>
          <w:rFonts w:eastAsia="Times New Roman"/>
        </w:rPr>
      </w:pPr>
      <w:proofErr w:type="spellStart"/>
      <w:r w:rsidRPr="00C52E0A">
        <w:rPr>
          <w:rFonts w:eastAsia="Times New Roman"/>
        </w:rPr>
        <w:t>Kneza</w:t>
      </w:r>
      <w:proofErr w:type="spellEnd"/>
      <w:r w:rsidRPr="00C52E0A">
        <w:rPr>
          <w:rFonts w:eastAsia="Times New Roman"/>
        </w:rPr>
        <w:t xml:space="preserve"> </w:t>
      </w:r>
      <w:proofErr w:type="spellStart"/>
      <w:r w:rsidRPr="00C52E0A">
        <w:rPr>
          <w:rFonts w:eastAsia="Times New Roman"/>
        </w:rPr>
        <w:t>Miloša</w:t>
      </w:r>
      <w:proofErr w:type="spellEnd"/>
      <w:r w:rsidRPr="00C52E0A">
        <w:rPr>
          <w:rFonts w:eastAsia="Times New Roman"/>
        </w:rPr>
        <w:t xml:space="preserve"> 52,</w:t>
      </w:r>
    </w:p>
    <w:p w:rsidR="00E11ED0" w:rsidRPr="00C52E0A" w:rsidRDefault="003777AB" w:rsidP="00CA506A">
      <w:pPr>
        <w:spacing w:after="0" w:line="240" w:lineRule="auto"/>
        <w:rPr>
          <w:rFonts w:eastAsia="Times New Roman"/>
        </w:rPr>
      </w:pPr>
      <w:r w:rsidRPr="00C52E0A">
        <w:rPr>
          <w:rFonts w:eastAsia="Times New Roman"/>
        </w:rPr>
        <w:t>17 500 Vranje, Republic of Serbia</w:t>
      </w:r>
    </w:p>
    <w:p w:rsidR="00E11ED0" w:rsidRPr="00C52E0A" w:rsidRDefault="00E11ED0" w:rsidP="00CA506A">
      <w:pPr>
        <w:autoSpaceDE w:val="0"/>
        <w:autoSpaceDN w:val="0"/>
        <w:adjustRightInd w:val="0"/>
        <w:spacing w:after="0" w:line="240" w:lineRule="auto"/>
        <w:ind w:left="720"/>
        <w:rPr>
          <w:rFonts w:cs="Calibri"/>
          <w:color w:val="000000"/>
        </w:rPr>
      </w:pPr>
    </w:p>
    <w:p w:rsidR="00E11ED0" w:rsidRPr="00C52E0A" w:rsidRDefault="003777AB" w:rsidP="00CA506A">
      <w:pPr>
        <w:spacing w:after="0" w:line="240" w:lineRule="auto"/>
        <w:jc w:val="both"/>
      </w:pPr>
      <w:r w:rsidRPr="00C52E0A">
        <w:t>Applications sent by any other means (e.g. by fax or by e-mail) or delivered to other addresses will be rejected.</w:t>
      </w:r>
    </w:p>
    <w:p w:rsidR="00B87285" w:rsidRPr="00C52E0A" w:rsidRDefault="00B87285" w:rsidP="00CA506A">
      <w:pPr>
        <w:pStyle w:val="Bullet1"/>
        <w:numPr>
          <w:ilvl w:val="0"/>
          <w:numId w:val="0"/>
        </w:numPr>
        <w:spacing w:before="0" w:after="0"/>
        <w:rPr>
          <w:rFonts w:ascii="Calibri" w:hAnsi="Calibri" w:cs="Calibri"/>
          <w:szCs w:val="22"/>
        </w:rPr>
      </w:pPr>
    </w:p>
    <w:p w:rsidR="00E11ED0" w:rsidRPr="00C52E0A" w:rsidRDefault="003777AB" w:rsidP="00CA506A">
      <w:pPr>
        <w:pStyle w:val="Heading4"/>
        <w:numPr>
          <w:ilvl w:val="0"/>
          <w:numId w:val="9"/>
        </w:numPr>
        <w:spacing w:before="0" w:line="240" w:lineRule="auto"/>
        <w:rPr>
          <w:rFonts w:ascii="Calibri" w:hAnsi="Calibri"/>
          <w:sz w:val="22"/>
          <w:szCs w:val="22"/>
        </w:rPr>
      </w:pPr>
      <w:bookmarkStart w:id="7" w:name="_Toc272322241"/>
      <w:r w:rsidRPr="00C52E0A">
        <w:rPr>
          <w:rFonts w:ascii="Calibri" w:hAnsi="Calibri"/>
          <w:sz w:val="22"/>
          <w:szCs w:val="22"/>
        </w:rPr>
        <w:t xml:space="preserve"> Deadline for Submission of Applications</w:t>
      </w:r>
      <w:bookmarkEnd w:id="7"/>
    </w:p>
    <w:p w:rsidR="00E11ED0" w:rsidRPr="00C52E0A" w:rsidRDefault="00E11ED0" w:rsidP="00CA506A">
      <w:pPr>
        <w:spacing w:after="0" w:line="240" w:lineRule="auto"/>
        <w:jc w:val="both"/>
      </w:pPr>
      <w:r w:rsidRPr="00C52E0A">
        <w:t>The deadline for the submission of applicatio</w:t>
      </w:r>
      <w:r w:rsidR="007B6D75">
        <w:t xml:space="preserve">ns is </w:t>
      </w:r>
      <w:r w:rsidR="001B2A9C">
        <w:t>10</w:t>
      </w:r>
      <w:r w:rsidR="000C6E69" w:rsidRPr="001442A0">
        <w:t xml:space="preserve"> </w:t>
      </w:r>
      <w:r w:rsidR="000C6E69">
        <w:t xml:space="preserve">March </w:t>
      </w:r>
      <w:r w:rsidR="00B86D3C" w:rsidRPr="00C52E0A">
        <w:t>2015</w:t>
      </w:r>
      <w:r w:rsidRPr="00C52E0A">
        <w:t>, at 1</w:t>
      </w:r>
      <w:r w:rsidR="001B2A9C">
        <w:t>6</w:t>
      </w:r>
      <w:r w:rsidRPr="00C52E0A">
        <w:t>:00h local time as evidenced by the signed and dated receipt. Any application submitted after the deadline will automatically be rejected.</w:t>
      </w:r>
    </w:p>
    <w:p w:rsidR="00E11ED0" w:rsidRPr="00C52E0A" w:rsidRDefault="00E11ED0" w:rsidP="00CA506A">
      <w:pPr>
        <w:autoSpaceDE w:val="0"/>
        <w:autoSpaceDN w:val="0"/>
        <w:adjustRightInd w:val="0"/>
        <w:spacing w:after="0" w:line="240" w:lineRule="auto"/>
        <w:jc w:val="both"/>
        <w:rPr>
          <w:rFonts w:cs="Calibri"/>
        </w:rPr>
      </w:pPr>
    </w:p>
    <w:p w:rsidR="00E11ED0" w:rsidRPr="00C52E0A" w:rsidRDefault="00E11ED0" w:rsidP="00CA506A">
      <w:pPr>
        <w:spacing w:after="0" w:line="240" w:lineRule="auto"/>
        <w:jc w:val="both"/>
      </w:pPr>
      <w:r w:rsidRPr="00C52E0A">
        <w:t xml:space="preserve">The indicative timetable for the application and evaluation process is as follows: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57"/>
        <w:gridCol w:w="3803"/>
      </w:tblGrid>
      <w:tr w:rsidR="006972EA" w:rsidRPr="00C52E0A" w:rsidTr="00AD79D5">
        <w:tc>
          <w:tcPr>
            <w:tcW w:w="5557" w:type="dxa"/>
            <w:tcBorders>
              <w:bottom w:val="nil"/>
            </w:tcBorders>
          </w:tcPr>
          <w:p w:rsidR="006972EA" w:rsidRPr="00C52E0A" w:rsidRDefault="006972EA" w:rsidP="00CA506A">
            <w:pPr>
              <w:spacing w:after="0" w:line="240" w:lineRule="auto"/>
              <w:jc w:val="both"/>
            </w:pPr>
          </w:p>
        </w:tc>
        <w:tc>
          <w:tcPr>
            <w:tcW w:w="3803" w:type="dxa"/>
            <w:shd w:val="pct10" w:color="auto" w:fill="FFFFFF"/>
          </w:tcPr>
          <w:p w:rsidR="006972EA" w:rsidRPr="00C52E0A" w:rsidRDefault="006972EA" w:rsidP="00CA506A">
            <w:pPr>
              <w:spacing w:after="0" w:line="240" w:lineRule="auto"/>
              <w:jc w:val="both"/>
            </w:pPr>
            <w:r w:rsidRPr="00C52E0A">
              <w:t>DATE</w:t>
            </w:r>
          </w:p>
        </w:tc>
      </w:tr>
      <w:tr w:rsidR="006972EA" w:rsidRPr="00C52E0A" w:rsidTr="00AD79D5">
        <w:tc>
          <w:tcPr>
            <w:tcW w:w="5557" w:type="dxa"/>
            <w:shd w:val="pct10" w:color="auto" w:fill="FFFFFF"/>
          </w:tcPr>
          <w:p w:rsidR="006972EA" w:rsidRPr="00C52E0A" w:rsidRDefault="006972EA" w:rsidP="00CA506A">
            <w:pPr>
              <w:spacing w:after="0" w:line="240" w:lineRule="auto"/>
              <w:jc w:val="both"/>
            </w:pPr>
            <w:r w:rsidRPr="00C52E0A">
              <w:t>Publication of the call for proposals</w:t>
            </w:r>
          </w:p>
        </w:tc>
        <w:tc>
          <w:tcPr>
            <w:tcW w:w="3803" w:type="dxa"/>
          </w:tcPr>
          <w:p w:rsidR="006972EA" w:rsidRPr="00C52E0A" w:rsidRDefault="005D2C13" w:rsidP="000C6E69">
            <w:pPr>
              <w:spacing w:after="0" w:line="240" w:lineRule="auto"/>
              <w:ind w:right="252"/>
              <w:jc w:val="both"/>
            </w:pPr>
            <w:r>
              <w:t>10</w:t>
            </w:r>
            <w:r w:rsidR="000C6E69">
              <w:t xml:space="preserve"> February </w:t>
            </w:r>
            <w:r w:rsidR="006972EA">
              <w:t xml:space="preserve">2015 </w:t>
            </w:r>
          </w:p>
        </w:tc>
      </w:tr>
      <w:tr w:rsidR="006972EA" w:rsidRPr="00C52E0A" w:rsidTr="00AD79D5">
        <w:tc>
          <w:tcPr>
            <w:tcW w:w="5557" w:type="dxa"/>
            <w:shd w:val="pct10" w:color="auto" w:fill="FFFFFF"/>
          </w:tcPr>
          <w:p w:rsidR="006972EA" w:rsidRPr="00C52E0A" w:rsidRDefault="006972EA" w:rsidP="00CA506A">
            <w:pPr>
              <w:spacing w:after="0" w:line="240" w:lineRule="auto"/>
            </w:pPr>
            <w:r w:rsidRPr="00C52E0A">
              <w:t>Informative sessions</w:t>
            </w:r>
          </w:p>
        </w:tc>
        <w:tc>
          <w:tcPr>
            <w:tcW w:w="3803" w:type="dxa"/>
          </w:tcPr>
          <w:p w:rsidR="006972EA" w:rsidRPr="00C52E0A" w:rsidRDefault="000C6E69" w:rsidP="00CA506A">
            <w:pPr>
              <w:spacing w:after="0" w:line="240" w:lineRule="auto"/>
              <w:ind w:right="252"/>
              <w:jc w:val="both"/>
            </w:pPr>
            <w:r>
              <w:t xml:space="preserve">Mid </w:t>
            </w:r>
            <w:r w:rsidR="006972EA">
              <w:t>February 2015</w:t>
            </w:r>
          </w:p>
        </w:tc>
      </w:tr>
      <w:tr w:rsidR="006972EA" w:rsidRPr="00C52E0A" w:rsidTr="00AD79D5">
        <w:tc>
          <w:tcPr>
            <w:tcW w:w="5557" w:type="dxa"/>
            <w:shd w:val="pct10" w:color="auto" w:fill="FFFFFF"/>
          </w:tcPr>
          <w:p w:rsidR="006972EA" w:rsidRPr="00C52E0A" w:rsidRDefault="006972EA" w:rsidP="00CA506A">
            <w:pPr>
              <w:spacing w:after="0" w:line="240" w:lineRule="auto"/>
            </w:pPr>
            <w:r w:rsidRPr="00C52E0A">
              <w:t>Deadline for submission of project proposal</w:t>
            </w:r>
          </w:p>
        </w:tc>
        <w:tc>
          <w:tcPr>
            <w:tcW w:w="3803" w:type="dxa"/>
          </w:tcPr>
          <w:p w:rsidR="006972EA" w:rsidRPr="00C52E0A" w:rsidRDefault="005D2C13" w:rsidP="00CA506A">
            <w:pPr>
              <w:spacing w:after="0" w:line="240" w:lineRule="auto"/>
              <w:ind w:right="252"/>
              <w:jc w:val="both"/>
            </w:pPr>
            <w:r>
              <w:t>10</w:t>
            </w:r>
            <w:r w:rsidR="000C6E69">
              <w:t xml:space="preserve"> March</w:t>
            </w:r>
            <w:r w:rsidR="006972EA">
              <w:t xml:space="preserve"> 2015</w:t>
            </w:r>
          </w:p>
        </w:tc>
      </w:tr>
      <w:tr w:rsidR="006972EA" w:rsidRPr="00C52E0A" w:rsidTr="00AD79D5">
        <w:tc>
          <w:tcPr>
            <w:tcW w:w="5557" w:type="dxa"/>
            <w:shd w:val="pct10" w:color="auto" w:fill="FFFFFF"/>
          </w:tcPr>
          <w:p w:rsidR="006972EA" w:rsidRPr="00C52E0A" w:rsidRDefault="006972EA" w:rsidP="00CA506A">
            <w:pPr>
              <w:spacing w:after="0" w:line="240" w:lineRule="auto"/>
            </w:pPr>
            <w:r w:rsidRPr="00C52E0A">
              <w:t>Programme Steering Committee (PSC) recommendation for award</w:t>
            </w:r>
          </w:p>
        </w:tc>
        <w:tc>
          <w:tcPr>
            <w:tcW w:w="3803" w:type="dxa"/>
          </w:tcPr>
          <w:p w:rsidR="006972EA" w:rsidRPr="00C52E0A" w:rsidRDefault="005D2C13" w:rsidP="00CA506A">
            <w:pPr>
              <w:spacing w:after="0" w:line="240" w:lineRule="auto"/>
              <w:ind w:right="252"/>
              <w:jc w:val="both"/>
            </w:pPr>
            <w:r>
              <w:t>Late</w:t>
            </w:r>
            <w:r w:rsidR="000C6E69">
              <w:t xml:space="preserve"> </w:t>
            </w:r>
            <w:r w:rsidR="006972EA">
              <w:t>March 2015</w:t>
            </w:r>
            <w:r>
              <w:t xml:space="preserve"> (TBC)</w:t>
            </w:r>
          </w:p>
        </w:tc>
      </w:tr>
      <w:tr w:rsidR="006972EA" w:rsidRPr="00C52E0A" w:rsidTr="00AD79D5">
        <w:tc>
          <w:tcPr>
            <w:tcW w:w="5557" w:type="dxa"/>
            <w:shd w:val="pct10" w:color="auto" w:fill="FFFFFF"/>
          </w:tcPr>
          <w:p w:rsidR="006972EA" w:rsidRPr="00C52E0A" w:rsidRDefault="006972EA" w:rsidP="00CA506A">
            <w:pPr>
              <w:spacing w:after="0" w:line="240" w:lineRule="auto"/>
            </w:pPr>
            <w:r w:rsidRPr="00C52E0A">
              <w:t>Notification of award (after the PSC recommendation)</w:t>
            </w:r>
          </w:p>
        </w:tc>
        <w:tc>
          <w:tcPr>
            <w:tcW w:w="3803" w:type="dxa"/>
          </w:tcPr>
          <w:p w:rsidR="006972EA" w:rsidRPr="00C52E0A" w:rsidRDefault="005D2C13" w:rsidP="000C6E69">
            <w:pPr>
              <w:spacing w:after="0" w:line="240" w:lineRule="auto"/>
              <w:ind w:right="72"/>
              <w:jc w:val="both"/>
            </w:pPr>
            <w:r>
              <w:t>April</w:t>
            </w:r>
            <w:r w:rsidR="006972EA">
              <w:t xml:space="preserve"> 2015</w:t>
            </w:r>
            <w:r>
              <w:t xml:space="preserve"> (TBC)</w:t>
            </w:r>
          </w:p>
        </w:tc>
      </w:tr>
      <w:tr w:rsidR="006972EA" w:rsidRPr="00C52E0A" w:rsidTr="00AD79D5">
        <w:tc>
          <w:tcPr>
            <w:tcW w:w="5557" w:type="dxa"/>
            <w:shd w:val="pct10" w:color="auto" w:fill="FFFFFF"/>
          </w:tcPr>
          <w:p w:rsidR="006972EA" w:rsidRPr="00C52E0A" w:rsidRDefault="006972EA" w:rsidP="00CA506A">
            <w:pPr>
              <w:spacing w:after="0" w:line="240" w:lineRule="auto"/>
            </w:pPr>
            <w:r w:rsidRPr="00C52E0A">
              <w:t xml:space="preserve">Signing of Cooperation Protocol </w:t>
            </w:r>
          </w:p>
        </w:tc>
        <w:tc>
          <w:tcPr>
            <w:tcW w:w="3803" w:type="dxa"/>
          </w:tcPr>
          <w:p w:rsidR="006972EA" w:rsidRPr="00C52E0A" w:rsidRDefault="005D2C13" w:rsidP="00CA506A">
            <w:pPr>
              <w:spacing w:after="0" w:line="240" w:lineRule="auto"/>
              <w:ind w:right="162"/>
              <w:jc w:val="both"/>
            </w:pPr>
            <w:r>
              <w:t xml:space="preserve">Late </w:t>
            </w:r>
            <w:r w:rsidR="000C6E69">
              <w:t>April</w:t>
            </w:r>
            <w:r w:rsidR="006972EA">
              <w:t xml:space="preserve"> 2015</w:t>
            </w:r>
            <w:r>
              <w:t xml:space="preserve"> (TBC)</w:t>
            </w:r>
          </w:p>
        </w:tc>
      </w:tr>
    </w:tbl>
    <w:p w:rsidR="00E11ED0" w:rsidRPr="00C52E0A" w:rsidRDefault="00E11ED0" w:rsidP="00CA506A">
      <w:pPr>
        <w:spacing w:after="0" w:line="240" w:lineRule="auto"/>
        <w:jc w:val="both"/>
        <w:rPr>
          <w:b/>
        </w:rPr>
      </w:pPr>
    </w:p>
    <w:p w:rsidR="00E11ED0" w:rsidRPr="00C52E0A" w:rsidRDefault="003777AB" w:rsidP="00CA506A">
      <w:pPr>
        <w:pStyle w:val="Heading4"/>
        <w:numPr>
          <w:ilvl w:val="0"/>
          <w:numId w:val="9"/>
        </w:numPr>
        <w:spacing w:before="0" w:line="240" w:lineRule="auto"/>
        <w:rPr>
          <w:rFonts w:ascii="Calibri" w:hAnsi="Calibri"/>
          <w:sz w:val="22"/>
          <w:szCs w:val="22"/>
        </w:rPr>
      </w:pPr>
      <w:bookmarkStart w:id="8" w:name="_Toc272322242"/>
      <w:r w:rsidRPr="00C52E0A">
        <w:rPr>
          <w:rFonts w:ascii="Calibri" w:hAnsi="Calibri"/>
          <w:sz w:val="22"/>
          <w:szCs w:val="22"/>
        </w:rPr>
        <w:t>Further Information for the Application</w:t>
      </w:r>
      <w:bookmarkEnd w:id="8"/>
    </w:p>
    <w:p w:rsidR="00E11ED0" w:rsidRPr="00C52E0A" w:rsidRDefault="003777AB" w:rsidP="00CA506A">
      <w:pPr>
        <w:spacing w:after="0" w:line="240" w:lineRule="auto"/>
        <w:jc w:val="both"/>
      </w:pPr>
      <w:r w:rsidRPr="00C52E0A">
        <w:t xml:space="preserve">Questions may be sent by e-mail no later than ten days before the deadline for the submission of applications to </w:t>
      </w:r>
      <w:hyperlink r:id="rId13" w:history="1">
        <w:r w:rsidR="00E11ED0" w:rsidRPr="00C52E0A">
          <w:rPr>
            <w:rStyle w:val="Hyperlink"/>
          </w:rPr>
          <w:t>progres.procurement@unops.org</w:t>
        </w:r>
      </w:hyperlink>
      <w:r w:rsidR="00E11ED0" w:rsidRPr="00C52E0A">
        <w:t>, indicating clearly the reference of the call for proposals. The contracting authority has no obligation to provide further clarifications after this date.</w:t>
      </w:r>
    </w:p>
    <w:p w:rsidR="00E11ED0" w:rsidRPr="00C52E0A" w:rsidRDefault="00E11ED0" w:rsidP="00CA506A">
      <w:pPr>
        <w:spacing w:after="0" w:line="240" w:lineRule="auto"/>
        <w:jc w:val="both"/>
      </w:pPr>
    </w:p>
    <w:p w:rsidR="00E11ED0" w:rsidRPr="00C52E0A" w:rsidRDefault="00E11ED0" w:rsidP="00CA506A">
      <w:pPr>
        <w:spacing w:after="0" w:line="240" w:lineRule="auto"/>
        <w:jc w:val="both"/>
      </w:pPr>
      <w:r w:rsidRPr="00C52E0A">
        <w:t xml:space="preserve">Replies will be given no later than seven days before the deadline for the submission of applications. </w:t>
      </w:r>
    </w:p>
    <w:p w:rsidR="00E11ED0" w:rsidRPr="00C52E0A" w:rsidRDefault="00E11ED0" w:rsidP="00CA506A">
      <w:pPr>
        <w:spacing w:after="0" w:line="240" w:lineRule="auto"/>
        <w:jc w:val="both"/>
      </w:pPr>
      <w:r w:rsidRPr="00C52E0A">
        <w:t>In the interest of equal treatment of applicants, the contracting authority cannot give a prior opinion on the eligibility of an applicant, a partner or an action.</w:t>
      </w:r>
    </w:p>
    <w:p w:rsidR="00E11ED0" w:rsidRPr="00C52E0A" w:rsidRDefault="00E11ED0" w:rsidP="00CA506A">
      <w:pPr>
        <w:spacing w:after="0" w:line="240" w:lineRule="auto"/>
        <w:jc w:val="both"/>
      </w:pPr>
    </w:p>
    <w:p w:rsidR="007835EB" w:rsidRDefault="00E11ED0" w:rsidP="00CA506A">
      <w:pPr>
        <w:spacing w:after="0" w:line="240" w:lineRule="auto"/>
        <w:jc w:val="both"/>
        <w:rPr>
          <w:rStyle w:val="Hyperlink"/>
        </w:rPr>
      </w:pPr>
      <w:r w:rsidRPr="00C52E0A">
        <w:t>Questions that may be relevant to other applicants, together with the answers, will be published on the Internet</w:t>
      </w:r>
      <w:r w:rsidR="00D850EB" w:rsidRPr="00C52E0A">
        <w:t xml:space="preserve">: </w:t>
      </w:r>
      <w:hyperlink r:id="rId14" w:history="1">
        <w:r w:rsidR="00F81197" w:rsidRPr="00C52E0A">
          <w:rPr>
            <w:rStyle w:val="Hyperlink"/>
          </w:rPr>
          <w:t>http://www.europeanprogres.org/pozivi/sr/</w:t>
        </w:r>
      </w:hyperlink>
      <w:r w:rsidR="007835EB">
        <w:rPr>
          <w:rStyle w:val="Hyperlink"/>
        </w:rPr>
        <w:t>.</w:t>
      </w:r>
    </w:p>
    <w:p w:rsidR="00E11ED0" w:rsidRPr="00C52E0A" w:rsidRDefault="00E11ED0" w:rsidP="00CA506A">
      <w:pPr>
        <w:spacing w:after="0" w:line="240" w:lineRule="auto"/>
        <w:jc w:val="both"/>
      </w:pPr>
    </w:p>
    <w:p w:rsidR="00E11ED0" w:rsidRPr="00C52E0A" w:rsidRDefault="00E11ED0" w:rsidP="00CA506A">
      <w:pPr>
        <w:spacing w:after="0" w:line="240" w:lineRule="auto"/>
        <w:jc w:val="both"/>
      </w:pPr>
      <w:r w:rsidRPr="00C52E0A">
        <w:t>It is therefore highly recommended to regularly consult the above mentioned website in order to be informed of the questions and answers published.</w:t>
      </w:r>
    </w:p>
    <w:p w:rsidR="00E11ED0" w:rsidRPr="00C52E0A" w:rsidRDefault="00E11ED0" w:rsidP="00CA506A">
      <w:pPr>
        <w:spacing w:after="0" w:line="240" w:lineRule="auto"/>
        <w:jc w:val="both"/>
      </w:pPr>
    </w:p>
    <w:p w:rsidR="00E11ED0" w:rsidRPr="00C52E0A" w:rsidRDefault="00044E54" w:rsidP="00CA506A">
      <w:pPr>
        <w:pStyle w:val="Heading4"/>
        <w:numPr>
          <w:ilvl w:val="0"/>
          <w:numId w:val="9"/>
        </w:numPr>
        <w:spacing w:before="0" w:line="240" w:lineRule="auto"/>
        <w:rPr>
          <w:rFonts w:ascii="Calibri" w:hAnsi="Calibri"/>
          <w:sz w:val="22"/>
          <w:szCs w:val="22"/>
        </w:rPr>
      </w:pPr>
      <w:r>
        <w:rPr>
          <w:rFonts w:ascii="Calibri" w:hAnsi="Calibri"/>
          <w:color w:val="548DD4"/>
          <w:sz w:val="22"/>
          <w:szCs w:val="22"/>
        </w:rPr>
        <w:t>Documents Attached to this Call (</w:t>
      </w:r>
      <w:r w:rsidR="00E11ED0" w:rsidRPr="00C52E0A">
        <w:rPr>
          <w:rFonts w:ascii="Calibri" w:hAnsi="Calibri"/>
          <w:color w:val="548DD4"/>
          <w:sz w:val="22"/>
          <w:szCs w:val="22"/>
        </w:rPr>
        <w:t>Annexes</w:t>
      </w:r>
      <w:r>
        <w:rPr>
          <w:rFonts w:ascii="Calibri" w:hAnsi="Calibri"/>
          <w:color w:val="548DD4"/>
          <w:sz w:val="22"/>
          <w:szCs w:val="22"/>
        </w:rPr>
        <w:t xml:space="preserve">) </w:t>
      </w:r>
    </w:p>
    <w:p w:rsidR="00235331" w:rsidRDefault="00235331" w:rsidP="00CA506A">
      <w:pPr>
        <w:autoSpaceDE w:val="0"/>
        <w:autoSpaceDN w:val="0"/>
        <w:adjustRightInd w:val="0"/>
        <w:spacing w:after="120" w:line="240" w:lineRule="auto"/>
        <w:ind w:firstLine="360"/>
        <w:contextualSpacing/>
        <w:jc w:val="both"/>
        <w:rPr>
          <w:rFonts w:cs="Calibri"/>
        </w:rPr>
      </w:pPr>
    </w:p>
    <w:p w:rsidR="00E11ED0" w:rsidRDefault="00235331" w:rsidP="00CA506A">
      <w:pPr>
        <w:autoSpaceDE w:val="0"/>
        <w:autoSpaceDN w:val="0"/>
        <w:adjustRightInd w:val="0"/>
        <w:spacing w:after="120" w:line="240" w:lineRule="auto"/>
        <w:ind w:firstLine="360"/>
        <w:contextualSpacing/>
        <w:jc w:val="both"/>
        <w:rPr>
          <w:rFonts w:cs="Calibri"/>
        </w:rPr>
      </w:pPr>
      <w:r>
        <w:rPr>
          <w:rFonts w:cs="Calibri"/>
        </w:rPr>
        <w:t>ANNEX 1:</w:t>
      </w:r>
      <w:r>
        <w:rPr>
          <w:rFonts w:cs="Calibri"/>
        </w:rPr>
        <w:tab/>
      </w:r>
      <w:r w:rsidR="00E11ED0" w:rsidRPr="00235331">
        <w:rPr>
          <w:rFonts w:cs="Calibri"/>
        </w:rPr>
        <w:t>Application Form</w:t>
      </w:r>
    </w:p>
    <w:p w:rsidR="00235331" w:rsidRDefault="00235331" w:rsidP="00CA506A">
      <w:pPr>
        <w:autoSpaceDE w:val="0"/>
        <w:autoSpaceDN w:val="0"/>
        <w:adjustRightInd w:val="0"/>
        <w:spacing w:after="120" w:line="240" w:lineRule="auto"/>
        <w:ind w:firstLine="360"/>
        <w:contextualSpacing/>
        <w:jc w:val="both"/>
        <w:rPr>
          <w:rFonts w:cs="Calibri"/>
        </w:rPr>
      </w:pPr>
    </w:p>
    <w:p w:rsidR="00903D49" w:rsidRDefault="00235331" w:rsidP="00CA506A">
      <w:pPr>
        <w:autoSpaceDE w:val="0"/>
        <w:autoSpaceDN w:val="0"/>
        <w:adjustRightInd w:val="0"/>
        <w:spacing w:after="120" w:line="240" w:lineRule="auto"/>
        <w:ind w:firstLine="360"/>
        <w:contextualSpacing/>
        <w:jc w:val="both"/>
        <w:rPr>
          <w:rFonts w:cs="Calibri"/>
        </w:rPr>
      </w:pPr>
      <w:r>
        <w:rPr>
          <w:rFonts w:cs="Calibri"/>
        </w:rPr>
        <w:t>ANNEX 2:</w:t>
      </w:r>
      <w:r>
        <w:rPr>
          <w:rFonts w:cs="Calibri"/>
        </w:rPr>
        <w:tab/>
      </w:r>
      <w:r w:rsidR="00E11ED0" w:rsidRPr="00C52E0A">
        <w:rPr>
          <w:rFonts w:cs="Calibri"/>
        </w:rPr>
        <w:t>Applican</w:t>
      </w:r>
      <w:r w:rsidR="00856C1E" w:rsidRPr="00C52E0A">
        <w:rPr>
          <w:rFonts w:cs="Calibri"/>
        </w:rPr>
        <w:t>t</w:t>
      </w:r>
      <w:r w:rsidR="00E11ED0" w:rsidRPr="00C52E0A">
        <w:rPr>
          <w:rFonts w:cs="Calibri"/>
        </w:rPr>
        <w:t xml:space="preserve"> Factsheet</w:t>
      </w:r>
    </w:p>
    <w:p w:rsidR="00235331" w:rsidRDefault="00235331" w:rsidP="00CA506A">
      <w:pPr>
        <w:autoSpaceDE w:val="0"/>
        <w:autoSpaceDN w:val="0"/>
        <w:adjustRightInd w:val="0"/>
        <w:spacing w:after="120" w:line="240" w:lineRule="auto"/>
        <w:ind w:firstLine="360"/>
        <w:contextualSpacing/>
        <w:jc w:val="both"/>
        <w:rPr>
          <w:rFonts w:cs="Calibri"/>
        </w:rPr>
      </w:pPr>
    </w:p>
    <w:p w:rsidR="00235331" w:rsidRPr="00C52E0A" w:rsidRDefault="00235331" w:rsidP="00CA506A">
      <w:pPr>
        <w:autoSpaceDE w:val="0"/>
        <w:autoSpaceDN w:val="0"/>
        <w:adjustRightInd w:val="0"/>
        <w:spacing w:after="120" w:line="240" w:lineRule="auto"/>
        <w:ind w:left="1440" w:hanging="1080"/>
        <w:contextualSpacing/>
        <w:jc w:val="both"/>
        <w:rPr>
          <w:rFonts w:cs="Calibri"/>
        </w:rPr>
      </w:pPr>
      <w:r>
        <w:rPr>
          <w:rFonts w:cs="Calibri"/>
        </w:rPr>
        <w:t xml:space="preserve">ANNEX 3: </w:t>
      </w:r>
      <w:r>
        <w:rPr>
          <w:rFonts w:cs="Calibri"/>
        </w:rPr>
        <w:tab/>
        <w:t>T</w:t>
      </w:r>
      <w:r w:rsidRPr="00235331">
        <w:rPr>
          <w:rFonts w:cs="Calibri"/>
        </w:rPr>
        <w:t>entative Timeline and Activities of the Technical Assistance for Programme Budgeting and Capital Investment Planning Preparation in selected Programme LSGs</w:t>
      </w:r>
    </w:p>
    <w:sectPr w:rsidR="00235331" w:rsidRPr="00C52E0A" w:rsidSect="0021640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49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8AD" w:rsidRDefault="00F058AD" w:rsidP="00FA31B1">
      <w:pPr>
        <w:spacing w:after="0" w:line="240" w:lineRule="auto"/>
      </w:pPr>
      <w:r>
        <w:separator/>
      </w:r>
    </w:p>
  </w:endnote>
  <w:endnote w:type="continuationSeparator" w:id="0">
    <w:p w:rsidR="00F058AD" w:rsidRDefault="00F058AD" w:rsidP="00FA31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4D"/>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40D" w:rsidRDefault="002164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481948"/>
      <w:docPartObj>
        <w:docPartGallery w:val="Page Numbers (Bottom of Page)"/>
        <w:docPartUnique/>
      </w:docPartObj>
    </w:sdtPr>
    <w:sdtEndPr>
      <w:rPr>
        <w:noProof/>
      </w:rPr>
    </w:sdtEndPr>
    <w:sdtContent>
      <w:p w:rsidR="008863D2" w:rsidRDefault="008863D2">
        <w:pPr>
          <w:pStyle w:val="Footer"/>
        </w:pPr>
        <w:r>
          <w:t xml:space="preserve">Page | </w:t>
        </w:r>
        <w:r w:rsidR="004B2279">
          <w:fldChar w:fldCharType="begin"/>
        </w:r>
        <w:r>
          <w:instrText xml:space="preserve"> PAGE   \* MERGEFORMAT </w:instrText>
        </w:r>
        <w:r w:rsidR="004B2279">
          <w:fldChar w:fldCharType="separate"/>
        </w:r>
        <w:r w:rsidR="00B43F03">
          <w:rPr>
            <w:noProof/>
          </w:rPr>
          <w:t>8</w:t>
        </w:r>
        <w:r w:rsidR="004B2279">
          <w:rPr>
            <w:noProof/>
          </w:rPr>
          <w:fldChar w:fldCharType="end"/>
        </w:r>
      </w:p>
    </w:sdtContent>
  </w:sdt>
  <w:p w:rsidR="008863D2" w:rsidRDefault="008863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3D2" w:rsidRPr="00FA31B1" w:rsidRDefault="008863D2" w:rsidP="00654FD3">
    <w:pPr>
      <w:tabs>
        <w:tab w:val="center" w:pos="4680"/>
        <w:tab w:val="right" w:pos="9360"/>
      </w:tabs>
      <w:spacing w:after="0"/>
      <w:ind w:right="-874" w:hanging="993"/>
      <w:jc w:val="center"/>
      <w:rPr>
        <w:rFonts w:cs="Tahoma"/>
        <w:sz w:val="17"/>
        <w:szCs w:val="17"/>
      </w:rPr>
    </w:pPr>
    <w:r w:rsidRPr="00FA31B1">
      <w:rPr>
        <w:rFonts w:cs="Tahoma"/>
        <w:sz w:val="17"/>
        <w:szCs w:val="17"/>
      </w:rPr>
      <w:t>The Programme is funded by the European Union, the Government of Switzerland and the Government of Serbia and is implemented by UNOPS,</w:t>
    </w:r>
  </w:p>
  <w:p w:rsidR="008863D2" w:rsidRPr="00FA31B1" w:rsidRDefault="008863D2" w:rsidP="00654FD3">
    <w:pPr>
      <w:tabs>
        <w:tab w:val="center" w:pos="4680"/>
        <w:tab w:val="right" w:pos="9360"/>
      </w:tabs>
      <w:spacing w:after="0"/>
      <w:ind w:right="-874" w:hanging="993"/>
      <w:jc w:val="center"/>
      <w:rPr>
        <w:rFonts w:cs="Tahoma"/>
        <w:sz w:val="17"/>
        <w:szCs w:val="17"/>
      </w:rPr>
    </w:pPr>
    <w:proofErr w:type="gramStart"/>
    <w:r w:rsidRPr="00FA31B1">
      <w:rPr>
        <w:rFonts w:cs="Tahoma"/>
        <w:sz w:val="17"/>
        <w:szCs w:val="17"/>
      </w:rPr>
      <w:t>in</w:t>
    </w:r>
    <w:proofErr w:type="gramEnd"/>
    <w:r w:rsidRPr="00FA31B1">
      <w:rPr>
        <w:rFonts w:cs="Tahoma"/>
        <w:sz w:val="17"/>
        <w:szCs w:val="17"/>
      </w:rPr>
      <w:t xml:space="preserve"> partnership with 34 municipalities of the South East and South West Serbia.</w:t>
    </w:r>
  </w:p>
  <w:p w:rsidR="008863D2" w:rsidRDefault="008863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8AD" w:rsidRDefault="00F058AD" w:rsidP="00FA31B1">
      <w:pPr>
        <w:spacing w:after="0" w:line="240" w:lineRule="auto"/>
      </w:pPr>
      <w:r>
        <w:separator/>
      </w:r>
    </w:p>
  </w:footnote>
  <w:footnote w:type="continuationSeparator" w:id="0">
    <w:p w:rsidR="00F058AD" w:rsidRDefault="00F058AD" w:rsidP="00FA31B1">
      <w:pPr>
        <w:spacing w:after="0" w:line="240" w:lineRule="auto"/>
      </w:pPr>
      <w:r>
        <w:continuationSeparator/>
      </w:r>
    </w:p>
  </w:footnote>
  <w:footnote w:id="1">
    <w:p w:rsidR="006500AB" w:rsidRPr="00CA506A" w:rsidRDefault="006500AB" w:rsidP="00CA506A">
      <w:pPr>
        <w:pStyle w:val="FootnoteText"/>
        <w:spacing w:after="0" w:line="240" w:lineRule="auto"/>
        <w:jc w:val="both"/>
        <w:rPr>
          <w:sz w:val="18"/>
          <w:szCs w:val="18"/>
        </w:rPr>
      </w:pPr>
      <w:r w:rsidRPr="00CA506A">
        <w:rPr>
          <w:rStyle w:val="FootnoteReference"/>
          <w:sz w:val="18"/>
          <w:szCs w:val="18"/>
        </w:rPr>
        <w:footnoteRef/>
      </w:r>
      <w:r w:rsidRPr="00CA506A">
        <w:rPr>
          <w:sz w:val="18"/>
          <w:szCs w:val="18"/>
        </w:rPr>
        <w:t xml:space="preserve"> For more information please see the EU PROGRES Final Report, May 2010 – March 2014, available at: </w:t>
      </w:r>
      <w:hyperlink r:id="rId1" w:history="1">
        <w:r w:rsidRPr="00CA506A">
          <w:rPr>
            <w:rStyle w:val="Hyperlink"/>
            <w:sz w:val="18"/>
            <w:szCs w:val="18"/>
          </w:rPr>
          <w:t>http://www.euprogres.org/biblioteka.php?id=605</w:t>
        </w:r>
      </w:hyperlink>
    </w:p>
  </w:footnote>
  <w:footnote w:id="2">
    <w:p w:rsidR="006500AB" w:rsidRPr="00CA506A" w:rsidRDefault="006500AB" w:rsidP="00CA506A">
      <w:pPr>
        <w:pStyle w:val="FootnoteText"/>
        <w:spacing w:after="0" w:line="240" w:lineRule="auto"/>
        <w:jc w:val="both"/>
        <w:rPr>
          <w:sz w:val="18"/>
          <w:szCs w:val="18"/>
        </w:rPr>
      </w:pPr>
      <w:r w:rsidRPr="00CA506A">
        <w:rPr>
          <w:rStyle w:val="FootnoteReference"/>
          <w:sz w:val="18"/>
          <w:szCs w:val="18"/>
        </w:rPr>
        <w:footnoteRef/>
      </w:r>
      <w:r w:rsidRPr="00CA506A">
        <w:rPr>
          <w:sz w:val="18"/>
          <w:szCs w:val="18"/>
        </w:rPr>
        <w:t xml:space="preserve"> Programme budgeting is legally required as of Year 2015, according to the Budget System Law, available at: </w:t>
      </w:r>
      <w:hyperlink r:id="rId2" w:history="1">
        <w:r w:rsidRPr="00CA506A">
          <w:rPr>
            <w:rStyle w:val="Hyperlink"/>
            <w:sz w:val="18"/>
            <w:szCs w:val="18"/>
          </w:rPr>
          <w:t>http://www.mfin.gov.rs/UserFiles/File/zakoni/2013/Zakon%20o%20budzetskom%20sistemu%20decembar%202013.pdf</w:t>
        </w:r>
      </w:hyperlink>
    </w:p>
  </w:footnote>
  <w:footnote w:id="3">
    <w:p w:rsidR="006500AB" w:rsidRPr="00CA506A" w:rsidRDefault="006500AB" w:rsidP="00CA506A">
      <w:pPr>
        <w:pStyle w:val="FootnoteText"/>
        <w:spacing w:after="0" w:line="240" w:lineRule="auto"/>
        <w:jc w:val="both"/>
        <w:rPr>
          <w:sz w:val="18"/>
          <w:szCs w:val="18"/>
        </w:rPr>
      </w:pPr>
      <w:r w:rsidRPr="00CA506A">
        <w:rPr>
          <w:rStyle w:val="FootnoteReference"/>
          <w:sz w:val="18"/>
          <w:szCs w:val="18"/>
        </w:rPr>
        <w:footnoteRef/>
      </w:r>
      <w:r w:rsidRPr="00CA506A">
        <w:rPr>
          <w:rFonts w:cs="Calibri"/>
          <w:color w:val="141414"/>
          <w:sz w:val="18"/>
          <w:szCs w:val="18"/>
        </w:rPr>
        <w:t>The 2014 budget allocates funds of almost six million Euros for implementation of 43 capital investment projects, out of which ten projects are related to economic development with allocation of 729,263 Euros for 2014. This proves commitment of the LSGs to implement capital investment projects, their readiness to implement a transparent and inclusive process for development of projects, and pioneering efforts to comply with the current legislation.</w:t>
      </w:r>
    </w:p>
  </w:footnote>
  <w:footnote w:id="4">
    <w:p w:rsidR="008863D2" w:rsidRPr="00CA506A" w:rsidRDefault="008863D2" w:rsidP="00A24E44">
      <w:pPr>
        <w:pStyle w:val="FootnoteText"/>
        <w:spacing w:after="0" w:line="240" w:lineRule="auto"/>
        <w:rPr>
          <w:sz w:val="18"/>
          <w:szCs w:val="18"/>
        </w:rPr>
      </w:pPr>
      <w:r w:rsidRPr="00CA506A">
        <w:rPr>
          <w:rStyle w:val="FootnoteReference"/>
          <w:sz w:val="18"/>
          <w:szCs w:val="18"/>
        </w:rPr>
        <w:footnoteRef/>
      </w:r>
      <w:r w:rsidRPr="00CA506A">
        <w:rPr>
          <w:sz w:val="18"/>
          <w:szCs w:val="18"/>
        </w:rPr>
        <w:t xml:space="preserve"> Fiscal Strategy for 2014 with projections for 2015 and 2016 available at: </w:t>
      </w:r>
      <w:hyperlink r:id="rId3" w:history="1">
        <w:r w:rsidRPr="00CA506A">
          <w:rPr>
            <w:rStyle w:val="Hyperlink"/>
            <w:sz w:val="18"/>
            <w:szCs w:val="18"/>
          </w:rPr>
          <w:t>http://www.mfin.gov.rs/UserFiles/File/dokumenti/2013/Fiskalna%20strategija%202014.pdf</w:t>
        </w:r>
      </w:hyperlink>
    </w:p>
  </w:footnote>
  <w:footnote w:id="5">
    <w:p w:rsidR="008863D2" w:rsidRPr="00CA506A" w:rsidRDefault="008863D2" w:rsidP="00A24E44">
      <w:pPr>
        <w:pStyle w:val="FootnoteText"/>
        <w:spacing w:after="0" w:line="240" w:lineRule="auto"/>
        <w:rPr>
          <w:sz w:val="18"/>
          <w:szCs w:val="18"/>
        </w:rPr>
      </w:pPr>
      <w:r w:rsidRPr="00CA506A">
        <w:rPr>
          <w:rStyle w:val="FootnoteReference"/>
          <w:sz w:val="18"/>
          <w:szCs w:val="18"/>
        </w:rPr>
        <w:footnoteRef/>
      </w:r>
      <w:r w:rsidRPr="00CA506A">
        <w:rPr>
          <w:sz w:val="18"/>
          <w:szCs w:val="18"/>
        </w:rPr>
        <w:t xml:space="preserve"> The titles of strategic documents may vary in LSGs. The titles frequently used are: Strategic Development Plan, Strategy of Sustainable Development, Strategy of Local Economic Development, and alike.</w:t>
      </w:r>
    </w:p>
  </w:footnote>
  <w:footnote w:id="6">
    <w:p w:rsidR="008863D2" w:rsidRPr="00CA506A" w:rsidRDefault="008863D2" w:rsidP="002F723C">
      <w:pPr>
        <w:pStyle w:val="FootnoteText"/>
        <w:spacing w:after="0" w:line="240" w:lineRule="auto"/>
        <w:rPr>
          <w:sz w:val="18"/>
          <w:szCs w:val="18"/>
        </w:rPr>
      </w:pPr>
      <w:r w:rsidRPr="00CA506A">
        <w:rPr>
          <w:rStyle w:val="FootnoteReference"/>
          <w:sz w:val="18"/>
          <w:szCs w:val="18"/>
        </w:rPr>
        <w:footnoteRef/>
      </w:r>
      <w:r w:rsidRPr="00CA506A">
        <w:rPr>
          <w:sz w:val="18"/>
          <w:szCs w:val="18"/>
        </w:rPr>
        <w:t>This was one of the main gaps identified in the Baseline Study on Competitiveness done under the EU PROGRES.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40D" w:rsidRDefault="002164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3D2" w:rsidRDefault="008863D2" w:rsidP="00FA31B1">
    <w:pPr>
      <w:pStyle w:val="Header"/>
      <w:tabs>
        <w:tab w:val="clear" w:pos="4680"/>
        <w:tab w:val="clear" w:pos="9360"/>
        <w:tab w:val="left" w:pos="1352"/>
      </w:tabs>
    </w:pPr>
    <w:r>
      <w:rPr>
        <w:noProof/>
        <w:lang w:val="en-US"/>
      </w:rPr>
      <w:drawing>
        <wp:anchor distT="0" distB="0" distL="114300" distR="114300" simplePos="0" relativeHeight="251656704" behindDoc="1" locked="0" layoutInCell="1" allowOverlap="1">
          <wp:simplePos x="0" y="0"/>
          <wp:positionH relativeFrom="column">
            <wp:posOffset>-371475</wp:posOffset>
          </wp:positionH>
          <wp:positionV relativeFrom="paragraph">
            <wp:posOffset>-379730</wp:posOffset>
          </wp:positionV>
          <wp:extent cx="6649085" cy="983615"/>
          <wp:effectExtent l="19050" t="0" r="0" b="0"/>
          <wp:wrapTight wrapText="bothSides">
            <wp:wrapPolygon edited="0">
              <wp:start x="-62" y="0"/>
              <wp:lineTo x="-62" y="21335"/>
              <wp:lineTo x="21598" y="21335"/>
              <wp:lineTo x="21598" y="0"/>
              <wp:lineTo x="-62" y="0"/>
            </wp:wrapPolygon>
          </wp:wrapTight>
          <wp:docPr id="1" name="Picture 2" descr="Linear Header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ar Header English"/>
                  <pic:cNvPicPr>
                    <a:picLocks noChangeAspect="1" noChangeArrowheads="1"/>
                  </pic:cNvPicPr>
                </pic:nvPicPr>
                <pic:blipFill>
                  <a:blip r:embed="rId1"/>
                  <a:srcRect/>
                  <a:stretch>
                    <a:fillRect/>
                  </a:stretch>
                </pic:blipFill>
                <pic:spPr bwMode="auto">
                  <a:xfrm>
                    <a:off x="0" y="0"/>
                    <a:ext cx="6649085" cy="983615"/>
                  </a:xfrm>
                  <a:prstGeom prst="rect">
                    <a:avLst/>
                  </a:prstGeom>
                  <a:noFill/>
                </pic:spPr>
              </pic:pic>
            </a:graphicData>
          </a:graphic>
        </wp:anchor>
      </w:drawing>
    </w:r>
    <w:r>
      <w:tab/>
    </w:r>
  </w:p>
  <w:p w:rsidR="008863D2" w:rsidRDefault="008863D2">
    <w:pPr>
      <w:pStyle w:val="Header"/>
    </w:pPr>
  </w:p>
  <w:p w:rsidR="008863D2" w:rsidRDefault="008863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3D2" w:rsidRDefault="008863D2">
    <w:pPr>
      <w:pStyle w:val="Header"/>
    </w:pPr>
    <w:r>
      <w:rPr>
        <w:noProof/>
        <w:lang w:val="en-US"/>
      </w:rPr>
      <w:drawing>
        <wp:anchor distT="0" distB="0" distL="114300" distR="114300" simplePos="0" relativeHeight="251657728" behindDoc="1" locked="0" layoutInCell="1" allowOverlap="1">
          <wp:simplePos x="0" y="0"/>
          <wp:positionH relativeFrom="margin">
            <wp:align>center</wp:align>
          </wp:positionH>
          <wp:positionV relativeFrom="paragraph">
            <wp:posOffset>-336474</wp:posOffset>
          </wp:positionV>
          <wp:extent cx="6649085" cy="983615"/>
          <wp:effectExtent l="0" t="0" r="0" b="6985"/>
          <wp:wrapTight wrapText="bothSides">
            <wp:wrapPolygon edited="0">
              <wp:start x="0" y="0"/>
              <wp:lineTo x="0" y="21335"/>
              <wp:lineTo x="21536" y="21335"/>
              <wp:lineTo x="21536" y="0"/>
              <wp:lineTo x="0" y="0"/>
            </wp:wrapPolygon>
          </wp:wrapTight>
          <wp:docPr id="14" name="Picture 2" descr="Linear Header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ar Header English"/>
                  <pic:cNvPicPr>
                    <a:picLocks noChangeAspect="1" noChangeArrowheads="1"/>
                  </pic:cNvPicPr>
                </pic:nvPicPr>
                <pic:blipFill>
                  <a:blip r:embed="rId1"/>
                  <a:srcRect/>
                  <a:stretch>
                    <a:fillRect/>
                  </a:stretch>
                </pic:blipFill>
                <pic:spPr bwMode="auto">
                  <a:xfrm>
                    <a:off x="0" y="0"/>
                    <a:ext cx="6649085" cy="9836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AE4173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18716E"/>
    <w:multiLevelType w:val="hybridMultilevel"/>
    <w:tmpl w:val="DBB68A3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977874"/>
    <w:multiLevelType w:val="hybridMultilevel"/>
    <w:tmpl w:val="77125F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792B03"/>
    <w:multiLevelType w:val="hybridMultilevel"/>
    <w:tmpl w:val="AF2A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523E87"/>
    <w:multiLevelType w:val="hybridMultilevel"/>
    <w:tmpl w:val="3C92074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967381"/>
    <w:multiLevelType w:val="hybridMultilevel"/>
    <w:tmpl w:val="EE04D2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B14057"/>
    <w:multiLevelType w:val="hybridMultilevel"/>
    <w:tmpl w:val="177EA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528E50CA"/>
    <w:multiLevelType w:val="hybridMultilevel"/>
    <w:tmpl w:val="F300C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2D099F"/>
    <w:multiLevelType w:val="singleLevel"/>
    <w:tmpl w:val="3EBAE196"/>
    <w:lvl w:ilvl="0">
      <w:start w:val="1"/>
      <w:numFmt w:val="bullet"/>
      <w:pStyle w:val="Bullet1"/>
      <w:lvlText w:val="●"/>
      <w:lvlJc w:val="left"/>
      <w:pPr>
        <w:tabs>
          <w:tab w:val="num" w:pos="2020"/>
        </w:tabs>
        <w:ind w:left="2020" w:hanging="850"/>
      </w:pPr>
      <w:rPr>
        <w:rFonts w:ascii="Arial" w:hAnsi="Arial" w:hint="default"/>
        <w:sz w:val="22"/>
        <w:szCs w:val="22"/>
      </w:rPr>
    </w:lvl>
  </w:abstractNum>
  <w:abstractNum w:abstractNumId="9">
    <w:nsid w:val="57273283"/>
    <w:multiLevelType w:val="hybridMultilevel"/>
    <w:tmpl w:val="FDE2870E"/>
    <w:lvl w:ilvl="0" w:tplc="437C54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956188"/>
    <w:multiLevelType w:val="hybridMultilevel"/>
    <w:tmpl w:val="B028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9A6301"/>
    <w:multiLevelType w:val="hybridMultilevel"/>
    <w:tmpl w:val="CE9246A6"/>
    <w:name w:val="WW8Num32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E2130A6"/>
    <w:multiLevelType w:val="hybridMultilevel"/>
    <w:tmpl w:val="0C44F782"/>
    <w:lvl w:ilvl="0" w:tplc="57B8BC3E">
      <w:start w:val="7"/>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647035"/>
    <w:multiLevelType w:val="hybridMultilevel"/>
    <w:tmpl w:val="AED48C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9A1C19"/>
    <w:multiLevelType w:val="hybridMultilevel"/>
    <w:tmpl w:val="403E13E8"/>
    <w:lvl w:ilvl="0" w:tplc="0409000F">
      <w:start w:val="1"/>
      <w:numFmt w:val="decimal"/>
      <w:lvlText w:val="%1."/>
      <w:lvlJc w:val="left"/>
      <w:pPr>
        <w:ind w:left="1446" w:hanging="360"/>
      </w:pPr>
      <w:rPr>
        <w:rFonts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5">
    <w:nsid w:val="73BD6BD5"/>
    <w:multiLevelType w:val="hybridMultilevel"/>
    <w:tmpl w:val="45E6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13"/>
  </w:num>
  <w:num w:numId="5">
    <w:abstractNumId w:val="1"/>
  </w:num>
  <w:num w:numId="6">
    <w:abstractNumId w:val="0"/>
  </w:num>
  <w:num w:numId="7">
    <w:abstractNumId w:val="8"/>
  </w:num>
  <w:num w:numId="8">
    <w:abstractNumId w:val="2"/>
  </w:num>
  <w:num w:numId="9">
    <w:abstractNumId w:val="4"/>
  </w:num>
  <w:num w:numId="10">
    <w:abstractNumId w:val="3"/>
  </w:num>
  <w:num w:numId="11">
    <w:abstractNumId w:val="14"/>
  </w:num>
  <w:num w:numId="12">
    <w:abstractNumId w:val="15"/>
  </w:num>
  <w:num w:numId="13">
    <w:abstractNumId w:val="12"/>
  </w:num>
  <w:num w:numId="14">
    <w:abstractNumId w:val="6"/>
  </w:num>
  <w:num w:numId="15">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FA31B1"/>
    <w:rsid w:val="0000130E"/>
    <w:rsid w:val="00006ACE"/>
    <w:rsid w:val="000077AB"/>
    <w:rsid w:val="00007C26"/>
    <w:rsid w:val="00012828"/>
    <w:rsid w:val="000140C3"/>
    <w:rsid w:val="00015351"/>
    <w:rsid w:val="000166B8"/>
    <w:rsid w:val="00016864"/>
    <w:rsid w:val="00025038"/>
    <w:rsid w:val="00026322"/>
    <w:rsid w:val="000264E2"/>
    <w:rsid w:val="00027BC8"/>
    <w:rsid w:val="000328CA"/>
    <w:rsid w:val="000330CA"/>
    <w:rsid w:val="00033B1B"/>
    <w:rsid w:val="00033B22"/>
    <w:rsid w:val="00034EA8"/>
    <w:rsid w:val="0003711D"/>
    <w:rsid w:val="00042279"/>
    <w:rsid w:val="00043AFF"/>
    <w:rsid w:val="00044C00"/>
    <w:rsid w:val="00044E54"/>
    <w:rsid w:val="00047E45"/>
    <w:rsid w:val="00057781"/>
    <w:rsid w:val="00062021"/>
    <w:rsid w:val="000668DE"/>
    <w:rsid w:val="00066B77"/>
    <w:rsid w:val="000675CD"/>
    <w:rsid w:val="000701D3"/>
    <w:rsid w:val="000708B8"/>
    <w:rsid w:val="00074B0E"/>
    <w:rsid w:val="00077BBC"/>
    <w:rsid w:val="000811CA"/>
    <w:rsid w:val="00084577"/>
    <w:rsid w:val="00084B76"/>
    <w:rsid w:val="00085B79"/>
    <w:rsid w:val="000946E1"/>
    <w:rsid w:val="000A27C7"/>
    <w:rsid w:val="000A2B45"/>
    <w:rsid w:val="000A3EA7"/>
    <w:rsid w:val="000A758C"/>
    <w:rsid w:val="000A7AEF"/>
    <w:rsid w:val="000B1F32"/>
    <w:rsid w:val="000B2FBD"/>
    <w:rsid w:val="000B466D"/>
    <w:rsid w:val="000B482D"/>
    <w:rsid w:val="000B5E59"/>
    <w:rsid w:val="000C096A"/>
    <w:rsid w:val="000C1756"/>
    <w:rsid w:val="000C592F"/>
    <w:rsid w:val="000C641C"/>
    <w:rsid w:val="000C6E69"/>
    <w:rsid w:val="000C730E"/>
    <w:rsid w:val="000C7E91"/>
    <w:rsid w:val="000D10F2"/>
    <w:rsid w:val="000D2C48"/>
    <w:rsid w:val="000D31BB"/>
    <w:rsid w:val="000E1543"/>
    <w:rsid w:val="000E6316"/>
    <w:rsid w:val="000E657F"/>
    <w:rsid w:val="000F1510"/>
    <w:rsid w:val="000F6CA2"/>
    <w:rsid w:val="000F78C9"/>
    <w:rsid w:val="000F7936"/>
    <w:rsid w:val="001005FF"/>
    <w:rsid w:val="00101258"/>
    <w:rsid w:val="00105437"/>
    <w:rsid w:val="0010666C"/>
    <w:rsid w:val="00106EC6"/>
    <w:rsid w:val="00112645"/>
    <w:rsid w:val="00114043"/>
    <w:rsid w:val="00116577"/>
    <w:rsid w:val="00117735"/>
    <w:rsid w:val="001178BD"/>
    <w:rsid w:val="00120A93"/>
    <w:rsid w:val="00122A8F"/>
    <w:rsid w:val="00126EF8"/>
    <w:rsid w:val="00131B7D"/>
    <w:rsid w:val="0013209C"/>
    <w:rsid w:val="00133F3C"/>
    <w:rsid w:val="00136FF8"/>
    <w:rsid w:val="00141F07"/>
    <w:rsid w:val="001442A0"/>
    <w:rsid w:val="0014535F"/>
    <w:rsid w:val="0014557F"/>
    <w:rsid w:val="001465BC"/>
    <w:rsid w:val="001500C0"/>
    <w:rsid w:val="00154836"/>
    <w:rsid w:val="001617A5"/>
    <w:rsid w:val="00165D84"/>
    <w:rsid w:val="0016647E"/>
    <w:rsid w:val="00170B85"/>
    <w:rsid w:val="00173B7E"/>
    <w:rsid w:val="0017500D"/>
    <w:rsid w:val="00175A96"/>
    <w:rsid w:val="00182388"/>
    <w:rsid w:val="00184059"/>
    <w:rsid w:val="00186507"/>
    <w:rsid w:val="00192181"/>
    <w:rsid w:val="00192466"/>
    <w:rsid w:val="001929D5"/>
    <w:rsid w:val="001949E0"/>
    <w:rsid w:val="00197189"/>
    <w:rsid w:val="00197526"/>
    <w:rsid w:val="001A0847"/>
    <w:rsid w:val="001A0A67"/>
    <w:rsid w:val="001A23A9"/>
    <w:rsid w:val="001A3139"/>
    <w:rsid w:val="001A39F9"/>
    <w:rsid w:val="001A5C13"/>
    <w:rsid w:val="001B24AE"/>
    <w:rsid w:val="001B2A9C"/>
    <w:rsid w:val="001B3BA4"/>
    <w:rsid w:val="001B3F8F"/>
    <w:rsid w:val="001B790E"/>
    <w:rsid w:val="001B7BCF"/>
    <w:rsid w:val="001C1DC3"/>
    <w:rsid w:val="001C687D"/>
    <w:rsid w:val="001D2F0E"/>
    <w:rsid w:val="001D39DB"/>
    <w:rsid w:val="001D47A8"/>
    <w:rsid w:val="001E4030"/>
    <w:rsid w:val="001E4877"/>
    <w:rsid w:val="001E4C6D"/>
    <w:rsid w:val="001F0C58"/>
    <w:rsid w:val="00200DDA"/>
    <w:rsid w:val="0020254F"/>
    <w:rsid w:val="00204943"/>
    <w:rsid w:val="00205F93"/>
    <w:rsid w:val="002061F8"/>
    <w:rsid w:val="002101FA"/>
    <w:rsid w:val="002130C1"/>
    <w:rsid w:val="002135CD"/>
    <w:rsid w:val="0021640D"/>
    <w:rsid w:val="00222BCF"/>
    <w:rsid w:val="00222F78"/>
    <w:rsid w:val="002273AB"/>
    <w:rsid w:val="00227E6F"/>
    <w:rsid w:val="0023107F"/>
    <w:rsid w:val="00233815"/>
    <w:rsid w:val="00235331"/>
    <w:rsid w:val="002357EA"/>
    <w:rsid w:val="002401BF"/>
    <w:rsid w:val="00240680"/>
    <w:rsid w:val="00241928"/>
    <w:rsid w:val="00242F5A"/>
    <w:rsid w:val="002539D5"/>
    <w:rsid w:val="002542B8"/>
    <w:rsid w:val="00255E6B"/>
    <w:rsid w:val="00255EBC"/>
    <w:rsid w:val="00256244"/>
    <w:rsid w:val="00263046"/>
    <w:rsid w:val="00263FCE"/>
    <w:rsid w:val="002653AF"/>
    <w:rsid w:val="002716EF"/>
    <w:rsid w:val="002721BD"/>
    <w:rsid w:val="002752CF"/>
    <w:rsid w:val="00275921"/>
    <w:rsid w:val="0027749D"/>
    <w:rsid w:val="00280398"/>
    <w:rsid w:val="00280575"/>
    <w:rsid w:val="00283E10"/>
    <w:rsid w:val="00290D39"/>
    <w:rsid w:val="0029252C"/>
    <w:rsid w:val="00292572"/>
    <w:rsid w:val="00292803"/>
    <w:rsid w:val="002A09EF"/>
    <w:rsid w:val="002A2BA4"/>
    <w:rsid w:val="002A4B41"/>
    <w:rsid w:val="002A6CCA"/>
    <w:rsid w:val="002A7734"/>
    <w:rsid w:val="002B0CDE"/>
    <w:rsid w:val="002B1825"/>
    <w:rsid w:val="002C1574"/>
    <w:rsid w:val="002C303A"/>
    <w:rsid w:val="002C61A0"/>
    <w:rsid w:val="002D01C2"/>
    <w:rsid w:val="002D2B9D"/>
    <w:rsid w:val="002E2B2A"/>
    <w:rsid w:val="002F45A0"/>
    <w:rsid w:val="002F59BC"/>
    <w:rsid w:val="002F63D9"/>
    <w:rsid w:val="002F723C"/>
    <w:rsid w:val="002F7A02"/>
    <w:rsid w:val="00300822"/>
    <w:rsid w:val="00307CE4"/>
    <w:rsid w:val="00310CA0"/>
    <w:rsid w:val="0031153B"/>
    <w:rsid w:val="00314809"/>
    <w:rsid w:val="0032148B"/>
    <w:rsid w:val="00324875"/>
    <w:rsid w:val="00325EAD"/>
    <w:rsid w:val="00326B47"/>
    <w:rsid w:val="00330BC6"/>
    <w:rsid w:val="00330F52"/>
    <w:rsid w:val="00340752"/>
    <w:rsid w:val="003436BA"/>
    <w:rsid w:val="00345273"/>
    <w:rsid w:val="00345C84"/>
    <w:rsid w:val="00345E14"/>
    <w:rsid w:val="003506C3"/>
    <w:rsid w:val="0035102F"/>
    <w:rsid w:val="00351378"/>
    <w:rsid w:val="00356ABE"/>
    <w:rsid w:val="00357535"/>
    <w:rsid w:val="003579D2"/>
    <w:rsid w:val="003603EF"/>
    <w:rsid w:val="003625A6"/>
    <w:rsid w:val="00362CC3"/>
    <w:rsid w:val="00362FAF"/>
    <w:rsid w:val="00364898"/>
    <w:rsid w:val="00365EDE"/>
    <w:rsid w:val="003717F4"/>
    <w:rsid w:val="0037218E"/>
    <w:rsid w:val="00372226"/>
    <w:rsid w:val="00374580"/>
    <w:rsid w:val="00374D6F"/>
    <w:rsid w:val="003777AB"/>
    <w:rsid w:val="003809A1"/>
    <w:rsid w:val="0038116E"/>
    <w:rsid w:val="00381227"/>
    <w:rsid w:val="00381518"/>
    <w:rsid w:val="00381D0A"/>
    <w:rsid w:val="00383B3E"/>
    <w:rsid w:val="00385A3C"/>
    <w:rsid w:val="0039016E"/>
    <w:rsid w:val="0039165D"/>
    <w:rsid w:val="00394207"/>
    <w:rsid w:val="003958FC"/>
    <w:rsid w:val="003A0295"/>
    <w:rsid w:val="003A0ED4"/>
    <w:rsid w:val="003A2DD7"/>
    <w:rsid w:val="003A43A1"/>
    <w:rsid w:val="003A4535"/>
    <w:rsid w:val="003A5E10"/>
    <w:rsid w:val="003B0768"/>
    <w:rsid w:val="003B170C"/>
    <w:rsid w:val="003B1D05"/>
    <w:rsid w:val="003B23C0"/>
    <w:rsid w:val="003B38EF"/>
    <w:rsid w:val="003B46D9"/>
    <w:rsid w:val="003B5177"/>
    <w:rsid w:val="003B5AC1"/>
    <w:rsid w:val="003B6561"/>
    <w:rsid w:val="003B6C88"/>
    <w:rsid w:val="003C0288"/>
    <w:rsid w:val="003C0B40"/>
    <w:rsid w:val="003C0F0C"/>
    <w:rsid w:val="003C1075"/>
    <w:rsid w:val="003C11EF"/>
    <w:rsid w:val="003C3971"/>
    <w:rsid w:val="003C4858"/>
    <w:rsid w:val="003C4DC7"/>
    <w:rsid w:val="003C5E9C"/>
    <w:rsid w:val="003C646F"/>
    <w:rsid w:val="003C69DE"/>
    <w:rsid w:val="003D1EB8"/>
    <w:rsid w:val="003D3160"/>
    <w:rsid w:val="003D33DA"/>
    <w:rsid w:val="003D44BD"/>
    <w:rsid w:val="003D4664"/>
    <w:rsid w:val="003D6069"/>
    <w:rsid w:val="003E1CE9"/>
    <w:rsid w:val="003E1EE4"/>
    <w:rsid w:val="003E2A6F"/>
    <w:rsid w:val="003E5188"/>
    <w:rsid w:val="003E68FA"/>
    <w:rsid w:val="003F461E"/>
    <w:rsid w:val="00401C25"/>
    <w:rsid w:val="00406FDE"/>
    <w:rsid w:val="00410411"/>
    <w:rsid w:val="004124C5"/>
    <w:rsid w:val="004234BC"/>
    <w:rsid w:val="00423D9F"/>
    <w:rsid w:val="004240A0"/>
    <w:rsid w:val="0042655A"/>
    <w:rsid w:val="0043149B"/>
    <w:rsid w:val="0043331C"/>
    <w:rsid w:val="00435915"/>
    <w:rsid w:val="00435BAD"/>
    <w:rsid w:val="0044434C"/>
    <w:rsid w:val="00444907"/>
    <w:rsid w:val="00445CBA"/>
    <w:rsid w:val="00446C51"/>
    <w:rsid w:val="004477AD"/>
    <w:rsid w:val="00447986"/>
    <w:rsid w:val="00447CDE"/>
    <w:rsid w:val="004519F9"/>
    <w:rsid w:val="00452E0D"/>
    <w:rsid w:val="00454234"/>
    <w:rsid w:val="0045680A"/>
    <w:rsid w:val="004568F0"/>
    <w:rsid w:val="004574F0"/>
    <w:rsid w:val="00457BA4"/>
    <w:rsid w:val="00460098"/>
    <w:rsid w:val="00461418"/>
    <w:rsid w:val="0046235D"/>
    <w:rsid w:val="004646CA"/>
    <w:rsid w:val="00464858"/>
    <w:rsid w:val="00472A13"/>
    <w:rsid w:val="00474510"/>
    <w:rsid w:val="00475276"/>
    <w:rsid w:val="00477BFA"/>
    <w:rsid w:val="00485879"/>
    <w:rsid w:val="004877F4"/>
    <w:rsid w:val="00490764"/>
    <w:rsid w:val="00491530"/>
    <w:rsid w:val="00494B5D"/>
    <w:rsid w:val="004952EC"/>
    <w:rsid w:val="004960E5"/>
    <w:rsid w:val="00497CCA"/>
    <w:rsid w:val="004A255E"/>
    <w:rsid w:val="004A27CB"/>
    <w:rsid w:val="004A55A3"/>
    <w:rsid w:val="004A5615"/>
    <w:rsid w:val="004A6655"/>
    <w:rsid w:val="004A7276"/>
    <w:rsid w:val="004A7D28"/>
    <w:rsid w:val="004B1DCA"/>
    <w:rsid w:val="004B2279"/>
    <w:rsid w:val="004B59C1"/>
    <w:rsid w:val="004B7024"/>
    <w:rsid w:val="004C5240"/>
    <w:rsid w:val="004C5FC3"/>
    <w:rsid w:val="004C61DF"/>
    <w:rsid w:val="004D2227"/>
    <w:rsid w:val="004D25D0"/>
    <w:rsid w:val="004D74E2"/>
    <w:rsid w:val="004D7723"/>
    <w:rsid w:val="004E4B30"/>
    <w:rsid w:val="004F056C"/>
    <w:rsid w:val="004F2DF3"/>
    <w:rsid w:val="004F4DC4"/>
    <w:rsid w:val="004F4E7F"/>
    <w:rsid w:val="004F7152"/>
    <w:rsid w:val="0050065B"/>
    <w:rsid w:val="00501457"/>
    <w:rsid w:val="005015B0"/>
    <w:rsid w:val="00506AD0"/>
    <w:rsid w:val="005075DF"/>
    <w:rsid w:val="005123DE"/>
    <w:rsid w:val="00524454"/>
    <w:rsid w:val="00533FFC"/>
    <w:rsid w:val="00536A9F"/>
    <w:rsid w:val="00537473"/>
    <w:rsid w:val="00537E39"/>
    <w:rsid w:val="005424EB"/>
    <w:rsid w:val="00542C10"/>
    <w:rsid w:val="0054582A"/>
    <w:rsid w:val="0054611A"/>
    <w:rsid w:val="00551EF9"/>
    <w:rsid w:val="00553813"/>
    <w:rsid w:val="005557C8"/>
    <w:rsid w:val="005617C1"/>
    <w:rsid w:val="00561D62"/>
    <w:rsid w:val="00561DC6"/>
    <w:rsid w:val="005700D4"/>
    <w:rsid w:val="00570C07"/>
    <w:rsid w:val="00572C12"/>
    <w:rsid w:val="00575DB9"/>
    <w:rsid w:val="00576A11"/>
    <w:rsid w:val="00576F8B"/>
    <w:rsid w:val="00577066"/>
    <w:rsid w:val="00583184"/>
    <w:rsid w:val="00584A5F"/>
    <w:rsid w:val="00585DD3"/>
    <w:rsid w:val="005874D8"/>
    <w:rsid w:val="0059481E"/>
    <w:rsid w:val="0059776F"/>
    <w:rsid w:val="005A0A65"/>
    <w:rsid w:val="005A20A7"/>
    <w:rsid w:val="005A2450"/>
    <w:rsid w:val="005A3A74"/>
    <w:rsid w:val="005A7FE1"/>
    <w:rsid w:val="005B002D"/>
    <w:rsid w:val="005B1D9E"/>
    <w:rsid w:val="005B2D45"/>
    <w:rsid w:val="005C02C0"/>
    <w:rsid w:val="005C211A"/>
    <w:rsid w:val="005C3AA9"/>
    <w:rsid w:val="005D03D1"/>
    <w:rsid w:val="005D09A5"/>
    <w:rsid w:val="005D2C13"/>
    <w:rsid w:val="005D316A"/>
    <w:rsid w:val="005D7C14"/>
    <w:rsid w:val="005E6271"/>
    <w:rsid w:val="005E73B8"/>
    <w:rsid w:val="005E7EBE"/>
    <w:rsid w:val="005F0877"/>
    <w:rsid w:val="005F142D"/>
    <w:rsid w:val="005F3461"/>
    <w:rsid w:val="005F62BC"/>
    <w:rsid w:val="005F62D0"/>
    <w:rsid w:val="005F6C51"/>
    <w:rsid w:val="00602AD3"/>
    <w:rsid w:val="00606C56"/>
    <w:rsid w:val="006104C6"/>
    <w:rsid w:val="00614244"/>
    <w:rsid w:val="00615428"/>
    <w:rsid w:val="006166AE"/>
    <w:rsid w:val="00616DE6"/>
    <w:rsid w:val="00617046"/>
    <w:rsid w:val="00621BF7"/>
    <w:rsid w:val="00630512"/>
    <w:rsid w:val="00630639"/>
    <w:rsid w:val="00631630"/>
    <w:rsid w:val="00631C3F"/>
    <w:rsid w:val="00631CC6"/>
    <w:rsid w:val="00633834"/>
    <w:rsid w:val="006339D6"/>
    <w:rsid w:val="00636EB5"/>
    <w:rsid w:val="006407DC"/>
    <w:rsid w:val="00641AE6"/>
    <w:rsid w:val="00644B33"/>
    <w:rsid w:val="0064597D"/>
    <w:rsid w:val="006463AF"/>
    <w:rsid w:val="006472F2"/>
    <w:rsid w:val="006500AB"/>
    <w:rsid w:val="00650264"/>
    <w:rsid w:val="00652FFB"/>
    <w:rsid w:val="006539F6"/>
    <w:rsid w:val="00654B9D"/>
    <w:rsid w:val="00654FD3"/>
    <w:rsid w:val="0065576A"/>
    <w:rsid w:val="00655F9A"/>
    <w:rsid w:val="00656A60"/>
    <w:rsid w:val="006601BA"/>
    <w:rsid w:val="0066048B"/>
    <w:rsid w:val="006605AD"/>
    <w:rsid w:val="0066199F"/>
    <w:rsid w:val="00661B8D"/>
    <w:rsid w:val="00663303"/>
    <w:rsid w:val="00665C8C"/>
    <w:rsid w:val="006661A4"/>
    <w:rsid w:val="00667277"/>
    <w:rsid w:val="006674EE"/>
    <w:rsid w:val="00675AC4"/>
    <w:rsid w:val="00676177"/>
    <w:rsid w:val="006766F2"/>
    <w:rsid w:val="006804C3"/>
    <w:rsid w:val="00681DFB"/>
    <w:rsid w:val="006840A2"/>
    <w:rsid w:val="00684E1D"/>
    <w:rsid w:val="00685E8E"/>
    <w:rsid w:val="006933D9"/>
    <w:rsid w:val="0069465C"/>
    <w:rsid w:val="006972EA"/>
    <w:rsid w:val="006A2B8C"/>
    <w:rsid w:val="006A4754"/>
    <w:rsid w:val="006A559D"/>
    <w:rsid w:val="006A7382"/>
    <w:rsid w:val="006B1D43"/>
    <w:rsid w:val="006B7002"/>
    <w:rsid w:val="006C272F"/>
    <w:rsid w:val="006C4372"/>
    <w:rsid w:val="006C5455"/>
    <w:rsid w:val="006C6781"/>
    <w:rsid w:val="006D042C"/>
    <w:rsid w:val="006D0E22"/>
    <w:rsid w:val="006D1F42"/>
    <w:rsid w:val="006D21BF"/>
    <w:rsid w:val="006D4355"/>
    <w:rsid w:val="006D6F5E"/>
    <w:rsid w:val="006D71F2"/>
    <w:rsid w:val="006D7946"/>
    <w:rsid w:val="006D7E48"/>
    <w:rsid w:val="006E16A9"/>
    <w:rsid w:val="006E3EF6"/>
    <w:rsid w:val="006E5CAE"/>
    <w:rsid w:val="006F0D36"/>
    <w:rsid w:val="006F12D4"/>
    <w:rsid w:val="006F4C6E"/>
    <w:rsid w:val="0070058F"/>
    <w:rsid w:val="00700E9B"/>
    <w:rsid w:val="0070203E"/>
    <w:rsid w:val="007024C1"/>
    <w:rsid w:val="00702E3E"/>
    <w:rsid w:val="00704A12"/>
    <w:rsid w:val="00704AFF"/>
    <w:rsid w:val="00707CC7"/>
    <w:rsid w:val="00711DE2"/>
    <w:rsid w:val="00714B90"/>
    <w:rsid w:val="00720BF2"/>
    <w:rsid w:val="00722EE7"/>
    <w:rsid w:val="00722F80"/>
    <w:rsid w:val="007255BF"/>
    <w:rsid w:val="00727422"/>
    <w:rsid w:val="007314A1"/>
    <w:rsid w:val="00735332"/>
    <w:rsid w:val="007371D3"/>
    <w:rsid w:val="007428D3"/>
    <w:rsid w:val="00745594"/>
    <w:rsid w:val="00750F79"/>
    <w:rsid w:val="0075253D"/>
    <w:rsid w:val="0075530D"/>
    <w:rsid w:val="00757BDD"/>
    <w:rsid w:val="00764CCC"/>
    <w:rsid w:val="00767AD6"/>
    <w:rsid w:val="00770C59"/>
    <w:rsid w:val="00770E9E"/>
    <w:rsid w:val="007728C4"/>
    <w:rsid w:val="007736B5"/>
    <w:rsid w:val="007741A5"/>
    <w:rsid w:val="00774E57"/>
    <w:rsid w:val="00776129"/>
    <w:rsid w:val="00776295"/>
    <w:rsid w:val="007835EB"/>
    <w:rsid w:val="007862BE"/>
    <w:rsid w:val="0078706D"/>
    <w:rsid w:val="00790274"/>
    <w:rsid w:val="00790B22"/>
    <w:rsid w:val="007911A8"/>
    <w:rsid w:val="007915CF"/>
    <w:rsid w:val="007956A9"/>
    <w:rsid w:val="0079639D"/>
    <w:rsid w:val="007A2EF9"/>
    <w:rsid w:val="007A4470"/>
    <w:rsid w:val="007A46BE"/>
    <w:rsid w:val="007A4D92"/>
    <w:rsid w:val="007A75CB"/>
    <w:rsid w:val="007B04F5"/>
    <w:rsid w:val="007B31EA"/>
    <w:rsid w:val="007B377D"/>
    <w:rsid w:val="007B3B08"/>
    <w:rsid w:val="007B5880"/>
    <w:rsid w:val="007B5D77"/>
    <w:rsid w:val="007B6D75"/>
    <w:rsid w:val="007C3E98"/>
    <w:rsid w:val="007C6CF8"/>
    <w:rsid w:val="007D6F87"/>
    <w:rsid w:val="007D72AD"/>
    <w:rsid w:val="007D7590"/>
    <w:rsid w:val="007D765A"/>
    <w:rsid w:val="007D797A"/>
    <w:rsid w:val="007E359E"/>
    <w:rsid w:val="007E664C"/>
    <w:rsid w:val="007E715F"/>
    <w:rsid w:val="007F138F"/>
    <w:rsid w:val="007F6369"/>
    <w:rsid w:val="008039C0"/>
    <w:rsid w:val="00804EBC"/>
    <w:rsid w:val="00807FFE"/>
    <w:rsid w:val="0081083C"/>
    <w:rsid w:val="00811A08"/>
    <w:rsid w:val="00812604"/>
    <w:rsid w:val="00812DC1"/>
    <w:rsid w:val="008149F9"/>
    <w:rsid w:val="00817009"/>
    <w:rsid w:val="00823A91"/>
    <w:rsid w:val="008306E7"/>
    <w:rsid w:val="008322C8"/>
    <w:rsid w:val="008358D8"/>
    <w:rsid w:val="00835E9A"/>
    <w:rsid w:val="008370B3"/>
    <w:rsid w:val="00841984"/>
    <w:rsid w:val="00842AC0"/>
    <w:rsid w:val="00846970"/>
    <w:rsid w:val="0085055B"/>
    <w:rsid w:val="00852E0D"/>
    <w:rsid w:val="00853C06"/>
    <w:rsid w:val="00853FB1"/>
    <w:rsid w:val="008561A9"/>
    <w:rsid w:val="00856C1E"/>
    <w:rsid w:val="0085744B"/>
    <w:rsid w:val="00860A08"/>
    <w:rsid w:val="008624A5"/>
    <w:rsid w:val="008627A5"/>
    <w:rsid w:val="00863755"/>
    <w:rsid w:val="00864DAE"/>
    <w:rsid w:val="008700E2"/>
    <w:rsid w:val="008704E9"/>
    <w:rsid w:val="00870EE4"/>
    <w:rsid w:val="00871758"/>
    <w:rsid w:val="00873F94"/>
    <w:rsid w:val="008806B6"/>
    <w:rsid w:val="008816BF"/>
    <w:rsid w:val="00882086"/>
    <w:rsid w:val="00884469"/>
    <w:rsid w:val="008863D2"/>
    <w:rsid w:val="00887334"/>
    <w:rsid w:val="008879AD"/>
    <w:rsid w:val="008900C5"/>
    <w:rsid w:val="00891543"/>
    <w:rsid w:val="00894934"/>
    <w:rsid w:val="00894C70"/>
    <w:rsid w:val="00895297"/>
    <w:rsid w:val="00895373"/>
    <w:rsid w:val="008A01A6"/>
    <w:rsid w:val="008A0A46"/>
    <w:rsid w:val="008A18CF"/>
    <w:rsid w:val="008A4527"/>
    <w:rsid w:val="008B0CEB"/>
    <w:rsid w:val="008B301E"/>
    <w:rsid w:val="008B3327"/>
    <w:rsid w:val="008B38E4"/>
    <w:rsid w:val="008B5F23"/>
    <w:rsid w:val="008C19B6"/>
    <w:rsid w:val="008C1C10"/>
    <w:rsid w:val="008C2CEE"/>
    <w:rsid w:val="008C338D"/>
    <w:rsid w:val="008C530C"/>
    <w:rsid w:val="008C5A17"/>
    <w:rsid w:val="008D1CD7"/>
    <w:rsid w:val="008D20DD"/>
    <w:rsid w:val="008D780F"/>
    <w:rsid w:val="008D7D09"/>
    <w:rsid w:val="008E1F8C"/>
    <w:rsid w:val="008E2456"/>
    <w:rsid w:val="008E3EEE"/>
    <w:rsid w:val="008E416F"/>
    <w:rsid w:val="008E5499"/>
    <w:rsid w:val="008E6B98"/>
    <w:rsid w:val="008E7770"/>
    <w:rsid w:val="008F3F43"/>
    <w:rsid w:val="008F61D2"/>
    <w:rsid w:val="008F62F3"/>
    <w:rsid w:val="008F71A1"/>
    <w:rsid w:val="00903D49"/>
    <w:rsid w:val="00904B47"/>
    <w:rsid w:val="009052FD"/>
    <w:rsid w:val="00906039"/>
    <w:rsid w:val="00910BFF"/>
    <w:rsid w:val="00911AD9"/>
    <w:rsid w:val="009133E4"/>
    <w:rsid w:val="009147E2"/>
    <w:rsid w:val="00914B80"/>
    <w:rsid w:val="00915926"/>
    <w:rsid w:val="009215E2"/>
    <w:rsid w:val="00922F71"/>
    <w:rsid w:val="00923E13"/>
    <w:rsid w:val="00926B12"/>
    <w:rsid w:val="009347C5"/>
    <w:rsid w:val="009353D4"/>
    <w:rsid w:val="00937259"/>
    <w:rsid w:val="00941C68"/>
    <w:rsid w:val="009433FD"/>
    <w:rsid w:val="009457F7"/>
    <w:rsid w:val="00950915"/>
    <w:rsid w:val="009514B9"/>
    <w:rsid w:val="0095280B"/>
    <w:rsid w:val="00952C8C"/>
    <w:rsid w:val="009532F1"/>
    <w:rsid w:val="009533A3"/>
    <w:rsid w:val="00954414"/>
    <w:rsid w:val="00960974"/>
    <w:rsid w:val="00960FDB"/>
    <w:rsid w:val="00962D7A"/>
    <w:rsid w:val="0096463B"/>
    <w:rsid w:val="009676B7"/>
    <w:rsid w:val="00972FFA"/>
    <w:rsid w:val="00976788"/>
    <w:rsid w:val="009770A1"/>
    <w:rsid w:val="009775AE"/>
    <w:rsid w:val="009838B7"/>
    <w:rsid w:val="00985B78"/>
    <w:rsid w:val="00991621"/>
    <w:rsid w:val="00991ADB"/>
    <w:rsid w:val="00993EF5"/>
    <w:rsid w:val="00994246"/>
    <w:rsid w:val="009A01A0"/>
    <w:rsid w:val="009A1EBC"/>
    <w:rsid w:val="009B128F"/>
    <w:rsid w:val="009B1F3F"/>
    <w:rsid w:val="009B5CDD"/>
    <w:rsid w:val="009B72E1"/>
    <w:rsid w:val="009B7397"/>
    <w:rsid w:val="009C05CC"/>
    <w:rsid w:val="009C192F"/>
    <w:rsid w:val="009C19E8"/>
    <w:rsid w:val="009D638D"/>
    <w:rsid w:val="009D6FE1"/>
    <w:rsid w:val="009E115F"/>
    <w:rsid w:val="009E1EA4"/>
    <w:rsid w:val="009E7082"/>
    <w:rsid w:val="009F2C2F"/>
    <w:rsid w:val="009F6D9A"/>
    <w:rsid w:val="00A00D12"/>
    <w:rsid w:val="00A01F86"/>
    <w:rsid w:val="00A06182"/>
    <w:rsid w:val="00A07A8A"/>
    <w:rsid w:val="00A10A23"/>
    <w:rsid w:val="00A1187C"/>
    <w:rsid w:val="00A11FB2"/>
    <w:rsid w:val="00A15F79"/>
    <w:rsid w:val="00A24E44"/>
    <w:rsid w:val="00A255A2"/>
    <w:rsid w:val="00A27A3D"/>
    <w:rsid w:val="00A27CB8"/>
    <w:rsid w:val="00A32F1F"/>
    <w:rsid w:val="00A35364"/>
    <w:rsid w:val="00A36074"/>
    <w:rsid w:val="00A3692E"/>
    <w:rsid w:val="00A4584D"/>
    <w:rsid w:val="00A52A93"/>
    <w:rsid w:val="00A530E7"/>
    <w:rsid w:val="00A550D4"/>
    <w:rsid w:val="00A60BAE"/>
    <w:rsid w:val="00A61519"/>
    <w:rsid w:val="00A61CC6"/>
    <w:rsid w:val="00A62904"/>
    <w:rsid w:val="00A65F75"/>
    <w:rsid w:val="00A72B85"/>
    <w:rsid w:val="00A73F4D"/>
    <w:rsid w:val="00A7441C"/>
    <w:rsid w:val="00A75ABC"/>
    <w:rsid w:val="00A80F30"/>
    <w:rsid w:val="00A84D5E"/>
    <w:rsid w:val="00A853A0"/>
    <w:rsid w:val="00A901DB"/>
    <w:rsid w:val="00A927C8"/>
    <w:rsid w:val="00A935C1"/>
    <w:rsid w:val="00AA0F6D"/>
    <w:rsid w:val="00AA2F56"/>
    <w:rsid w:val="00AA532B"/>
    <w:rsid w:val="00AA72E9"/>
    <w:rsid w:val="00AB136E"/>
    <w:rsid w:val="00AC30DB"/>
    <w:rsid w:val="00AC345C"/>
    <w:rsid w:val="00AD2092"/>
    <w:rsid w:val="00AD2D01"/>
    <w:rsid w:val="00AD4906"/>
    <w:rsid w:val="00AD4CB4"/>
    <w:rsid w:val="00AD6741"/>
    <w:rsid w:val="00AD7427"/>
    <w:rsid w:val="00AD79D5"/>
    <w:rsid w:val="00AE0A82"/>
    <w:rsid w:val="00AE1916"/>
    <w:rsid w:val="00AE23F5"/>
    <w:rsid w:val="00AE4AD1"/>
    <w:rsid w:val="00AF5CF3"/>
    <w:rsid w:val="00B01577"/>
    <w:rsid w:val="00B0164F"/>
    <w:rsid w:val="00B05191"/>
    <w:rsid w:val="00B070EC"/>
    <w:rsid w:val="00B15BD6"/>
    <w:rsid w:val="00B2326B"/>
    <w:rsid w:val="00B24A65"/>
    <w:rsid w:val="00B24FF4"/>
    <w:rsid w:val="00B25D42"/>
    <w:rsid w:val="00B30B89"/>
    <w:rsid w:val="00B319CD"/>
    <w:rsid w:val="00B31B8F"/>
    <w:rsid w:val="00B32120"/>
    <w:rsid w:val="00B3335B"/>
    <w:rsid w:val="00B4124D"/>
    <w:rsid w:val="00B41687"/>
    <w:rsid w:val="00B4186D"/>
    <w:rsid w:val="00B43F03"/>
    <w:rsid w:val="00B444E2"/>
    <w:rsid w:val="00B4755B"/>
    <w:rsid w:val="00B52C88"/>
    <w:rsid w:val="00B542C4"/>
    <w:rsid w:val="00B55A91"/>
    <w:rsid w:val="00B56058"/>
    <w:rsid w:val="00B629F3"/>
    <w:rsid w:val="00B671F4"/>
    <w:rsid w:val="00B67CC5"/>
    <w:rsid w:val="00B70264"/>
    <w:rsid w:val="00B73FE1"/>
    <w:rsid w:val="00B7400F"/>
    <w:rsid w:val="00B767F4"/>
    <w:rsid w:val="00B77866"/>
    <w:rsid w:val="00B8552F"/>
    <w:rsid w:val="00B86D3C"/>
    <w:rsid w:val="00B87285"/>
    <w:rsid w:val="00B87DEA"/>
    <w:rsid w:val="00B906C7"/>
    <w:rsid w:val="00B92898"/>
    <w:rsid w:val="00B92AA4"/>
    <w:rsid w:val="00B94371"/>
    <w:rsid w:val="00B9485D"/>
    <w:rsid w:val="00BA1861"/>
    <w:rsid w:val="00BA28D4"/>
    <w:rsid w:val="00BA2959"/>
    <w:rsid w:val="00BA2E8F"/>
    <w:rsid w:val="00BA2F9C"/>
    <w:rsid w:val="00BA31C9"/>
    <w:rsid w:val="00BA3A9A"/>
    <w:rsid w:val="00BA446A"/>
    <w:rsid w:val="00BA5EB6"/>
    <w:rsid w:val="00BB280C"/>
    <w:rsid w:val="00BB5E97"/>
    <w:rsid w:val="00BC3183"/>
    <w:rsid w:val="00BC3346"/>
    <w:rsid w:val="00BC6FC8"/>
    <w:rsid w:val="00BD3EA0"/>
    <w:rsid w:val="00BD5C2B"/>
    <w:rsid w:val="00BD6C13"/>
    <w:rsid w:val="00BD7C44"/>
    <w:rsid w:val="00BE19FB"/>
    <w:rsid w:val="00BE399E"/>
    <w:rsid w:val="00BE426D"/>
    <w:rsid w:val="00BE542B"/>
    <w:rsid w:val="00BF3F51"/>
    <w:rsid w:val="00BF66A5"/>
    <w:rsid w:val="00BF72D3"/>
    <w:rsid w:val="00C009E0"/>
    <w:rsid w:val="00C10F8B"/>
    <w:rsid w:val="00C17704"/>
    <w:rsid w:val="00C213F1"/>
    <w:rsid w:val="00C23D93"/>
    <w:rsid w:val="00C24F68"/>
    <w:rsid w:val="00C259FF"/>
    <w:rsid w:val="00C33B42"/>
    <w:rsid w:val="00C33F56"/>
    <w:rsid w:val="00C46DBB"/>
    <w:rsid w:val="00C47CEB"/>
    <w:rsid w:val="00C47F11"/>
    <w:rsid w:val="00C52E0A"/>
    <w:rsid w:val="00C52F55"/>
    <w:rsid w:val="00C5534B"/>
    <w:rsid w:val="00C55B6D"/>
    <w:rsid w:val="00C56F50"/>
    <w:rsid w:val="00C57836"/>
    <w:rsid w:val="00C578AC"/>
    <w:rsid w:val="00C63FB3"/>
    <w:rsid w:val="00C645F0"/>
    <w:rsid w:val="00C64961"/>
    <w:rsid w:val="00C6682D"/>
    <w:rsid w:val="00C73B9F"/>
    <w:rsid w:val="00C76096"/>
    <w:rsid w:val="00C7734B"/>
    <w:rsid w:val="00C80A13"/>
    <w:rsid w:val="00C84030"/>
    <w:rsid w:val="00C86875"/>
    <w:rsid w:val="00C90D09"/>
    <w:rsid w:val="00C9116F"/>
    <w:rsid w:val="00C917A8"/>
    <w:rsid w:val="00C91C8C"/>
    <w:rsid w:val="00C96611"/>
    <w:rsid w:val="00C96A8A"/>
    <w:rsid w:val="00CA0C2D"/>
    <w:rsid w:val="00CA3E8F"/>
    <w:rsid w:val="00CA475B"/>
    <w:rsid w:val="00CA506A"/>
    <w:rsid w:val="00CA5D4E"/>
    <w:rsid w:val="00CB0AED"/>
    <w:rsid w:val="00CB1B9E"/>
    <w:rsid w:val="00CB239B"/>
    <w:rsid w:val="00CB2F15"/>
    <w:rsid w:val="00CB2F6E"/>
    <w:rsid w:val="00CB61A7"/>
    <w:rsid w:val="00CB6C5E"/>
    <w:rsid w:val="00CC6086"/>
    <w:rsid w:val="00CD6779"/>
    <w:rsid w:val="00CD72A1"/>
    <w:rsid w:val="00CE0396"/>
    <w:rsid w:val="00CE5028"/>
    <w:rsid w:val="00CE5903"/>
    <w:rsid w:val="00CE739C"/>
    <w:rsid w:val="00CE7AA1"/>
    <w:rsid w:val="00CE7E65"/>
    <w:rsid w:val="00CF0B1A"/>
    <w:rsid w:val="00CF7CA1"/>
    <w:rsid w:val="00D03318"/>
    <w:rsid w:val="00D0376A"/>
    <w:rsid w:val="00D137B3"/>
    <w:rsid w:val="00D22A58"/>
    <w:rsid w:val="00D264DE"/>
    <w:rsid w:val="00D2735D"/>
    <w:rsid w:val="00D3158C"/>
    <w:rsid w:val="00D33518"/>
    <w:rsid w:val="00D342D9"/>
    <w:rsid w:val="00D36370"/>
    <w:rsid w:val="00D36A89"/>
    <w:rsid w:val="00D37292"/>
    <w:rsid w:val="00D414C3"/>
    <w:rsid w:val="00D439FB"/>
    <w:rsid w:val="00D4507A"/>
    <w:rsid w:val="00D4560D"/>
    <w:rsid w:val="00D46757"/>
    <w:rsid w:val="00D5297D"/>
    <w:rsid w:val="00D5354C"/>
    <w:rsid w:val="00D53CD2"/>
    <w:rsid w:val="00D55D3A"/>
    <w:rsid w:val="00D57435"/>
    <w:rsid w:val="00D63212"/>
    <w:rsid w:val="00D64A0A"/>
    <w:rsid w:val="00D652F5"/>
    <w:rsid w:val="00D66F9A"/>
    <w:rsid w:val="00D732DC"/>
    <w:rsid w:val="00D73472"/>
    <w:rsid w:val="00D74CE3"/>
    <w:rsid w:val="00D826F1"/>
    <w:rsid w:val="00D82BF9"/>
    <w:rsid w:val="00D8450D"/>
    <w:rsid w:val="00D846C0"/>
    <w:rsid w:val="00D84C95"/>
    <w:rsid w:val="00D850EB"/>
    <w:rsid w:val="00D85359"/>
    <w:rsid w:val="00D926E3"/>
    <w:rsid w:val="00D934B6"/>
    <w:rsid w:val="00D95785"/>
    <w:rsid w:val="00DA0C6E"/>
    <w:rsid w:val="00DA3274"/>
    <w:rsid w:val="00DA5FD2"/>
    <w:rsid w:val="00DA6093"/>
    <w:rsid w:val="00DB5C3B"/>
    <w:rsid w:val="00DB716A"/>
    <w:rsid w:val="00DB7419"/>
    <w:rsid w:val="00DC2B3B"/>
    <w:rsid w:val="00DC5A1E"/>
    <w:rsid w:val="00DC68F4"/>
    <w:rsid w:val="00DC70C6"/>
    <w:rsid w:val="00DD2C2B"/>
    <w:rsid w:val="00DD4072"/>
    <w:rsid w:val="00DD5329"/>
    <w:rsid w:val="00DE01EA"/>
    <w:rsid w:val="00DE0DCE"/>
    <w:rsid w:val="00DE3276"/>
    <w:rsid w:val="00DE484C"/>
    <w:rsid w:val="00DE5672"/>
    <w:rsid w:val="00DE6211"/>
    <w:rsid w:val="00DF1D65"/>
    <w:rsid w:val="00DF4118"/>
    <w:rsid w:val="00DF601C"/>
    <w:rsid w:val="00E041A4"/>
    <w:rsid w:val="00E04F04"/>
    <w:rsid w:val="00E05FB0"/>
    <w:rsid w:val="00E07020"/>
    <w:rsid w:val="00E10DF9"/>
    <w:rsid w:val="00E11ED0"/>
    <w:rsid w:val="00E1578E"/>
    <w:rsid w:val="00E15795"/>
    <w:rsid w:val="00E22008"/>
    <w:rsid w:val="00E22A5B"/>
    <w:rsid w:val="00E305D8"/>
    <w:rsid w:val="00E308E3"/>
    <w:rsid w:val="00E30C5F"/>
    <w:rsid w:val="00E40861"/>
    <w:rsid w:val="00E42593"/>
    <w:rsid w:val="00E460A9"/>
    <w:rsid w:val="00E52FDA"/>
    <w:rsid w:val="00E539BB"/>
    <w:rsid w:val="00E54372"/>
    <w:rsid w:val="00E565E1"/>
    <w:rsid w:val="00E56BF2"/>
    <w:rsid w:val="00E57106"/>
    <w:rsid w:val="00E60966"/>
    <w:rsid w:val="00E60E3C"/>
    <w:rsid w:val="00E60E94"/>
    <w:rsid w:val="00E62341"/>
    <w:rsid w:val="00E66A99"/>
    <w:rsid w:val="00E71730"/>
    <w:rsid w:val="00E72FD6"/>
    <w:rsid w:val="00E75FFA"/>
    <w:rsid w:val="00E764FA"/>
    <w:rsid w:val="00E811E1"/>
    <w:rsid w:val="00E83664"/>
    <w:rsid w:val="00E864C5"/>
    <w:rsid w:val="00E87160"/>
    <w:rsid w:val="00E87EC5"/>
    <w:rsid w:val="00E915CA"/>
    <w:rsid w:val="00E936FD"/>
    <w:rsid w:val="00E94730"/>
    <w:rsid w:val="00E96F0C"/>
    <w:rsid w:val="00E97272"/>
    <w:rsid w:val="00EA06ED"/>
    <w:rsid w:val="00EA0F3F"/>
    <w:rsid w:val="00EA2D6C"/>
    <w:rsid w:val="00EA41F3"/>
    <w:rsid w:val="00EA5786"/>
    <w:rsid w:val="00EA6A8D"/>
    <w:rsid w:val="00EB197C"/>
    <w:rsid w:val="00EB488F"/>
    <w:rsid w:val="00EB50B2"/>
    <w:rsid w:val="00EB728A"/>
    <w:rsid w:val="00EC0FD3"/>
    <w:rsid w:val="00EC10F5"/>
    <w:rsid w:val="00EC1870"/>
    <w:rsid w:val="00EC424D"/>
    <w:rsid w:val="00EC5B3E"/>
    <w:rsid w:val="00EC5F9F"/>
    <w:rsid w:val="00EC64E2"/>
    <w:rsid w:val="00EC7014"/>
    <w:rsid w:val="00ED0BCC"/>
    <w:rsid w:val="00ED3E46"/>
    <w:rsid w:val="00EE1B0B"/>
    <w:rsid w:val="00EE340E"/>
    <w:rsid w:val="00EE44EE"/>
    <w:rsid w:val="00EE55E6"/>
    <w:rsid w:val="00EF2DB9"/>
    <w:rsid w:val="00EF341B"/>
    <w:rsid w:val="00EF3C96"/>
    <w:rsid w:val="00EF3E97"/>
    <w:rsid w:val="00EF4D0E"/>
    <w:rsid w:val="00EF5E9C"/>
    <w:rsid w:val="00EF6B74"/>
    <w:rsid w:val="00EF6C5D"/>
    <w:rsid w:val="00EF6F46"/>
    <w:rsid w:val="00F0086A"/>
    <w:rsid w:val="00F022F2"/>
    <w:rsid w:val="00F0263C"/>
    <w:rsid w:val="00F02943"/>
    <w:rsid w:val="00F02CFA"/>
    <w:rsid w:val="00F058AD"/>
    <w:rsid w:val="00F05D1F"/>
    <w:rsid w:val="00F0672C"/>
    <w:rsid w:val="00F10734"/>
    <w:rsid w:val="00F136E6"/>
    <w:rsid w:val="00F1415B"/>
    <w:rsid w:val="00F143B3"/>
    <w:rsid w:val="00F1476E"/>
    <w:rsid w:val="00F16CDA"/>
    <w:rsid w:val="00F178E2"/>
    <w:rsid w:val="00F210DD"/>
    <w:rsid w:val="00F21127"/>
    <w:rsid w:val="00F24EB8"/>
    <w:rsid w:val="00F2521D"/>
    <w:rsid w:val="00F268E5"/>
    <w:rsid w:val="00F314A3"/>
    <w:rsid w:val="00F3528A"/>
    <w:rsid w:val="00F3579C"/>
    <w:rsid w:val="00F42129"/>
    <w:rsid w:val="00F44D73"/>
    <w:rsid w:val="00F46A90"/>
    <w:rsid w:val="00F47970"/>
    <w:rsid w:val="00F527B9"/>
    <w:rsid w:val="00F527F2"/>
    <w:rsid w:val="00F527FD"/>
    <w:rsid w:val="00F55C32"/>
    <w:rsid w:val="00F56130"/>
    <w:rsid w:val="00F572C9"/>
    <w:rsid w:val="00F57CFC"/>
    <w:rsid w:val="00F62A54"/>
    <w:rsid w:val="00F62F0B"/>
    <w:rsid w:val="00F63E15"/>
    <w:rsid w:val="00F67CBB"/>
    <w:rsid w:val="00F72F5B"/>
    <w:rsid w:val="00F7336B"/>
    <w:rsid w:val="00F7461B"/>
    <w:rsid w:val="00F76182"/>
    <w:rsid w:val="00F77B9C"/>
    <w:rsid w:val="00F80F6A"/>
    <w:rsid w:val="00F81197"/>
    <w:rsid w:val="00F83AB9"/>
    <w:rsid w:val="00F85296"/>
    <w:rsid w:val="00F85CEE"/>
    <w:rsid w:val="00F93BF6"/>
    <w:rsid w:val="00FA1CC0"/>
    <w:rsid w:val="00FA31B1"/>
    <w:rsid w:val="00FA405F"/>
    <w:rsid w:val="00FB6864"/>
    <w:rsid w:val="00FB7CEB"/>
    <w:rsid w:val="00FC23BF"/>
    <w:rsid w:val="00FC2742"/>
    <w:rsid w:val="00FC28E2"/>
    <w:rsid w:val="00FC347C"/>
    <w:rsid w:val="00FD1415"/>
    <w:rsid w:val="00FD3119"/>
    <w:rsid w:val="00FD5B05"/>
    <w:rsid w:val="00FD621F"/>
    <w:rsid w:val="00FE21E7"/>
    <w:rsid w:val="00FE2A8D"/>
    <w:rsid w:val="00FE474F"/>
    <w:rsid w:val="00FE65A4"/>
    <w:rsid w:val="00FF0467"/>
    <w:rsid w:val="00FF06D1"/>
    <w:rsid w:val="00FF0793"/>
    <w:rsid w:val="00FF0E2A"/>
    <w:rsid w:val="00FF13B5"/>
    <w:rsid w:val="00FF2CC6"/>
    <w:rsid w:val="00FF618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16E"/>
    <w:pPr>
      <w:spacing w:after="200" w:line="276" w:lineRule="auto"/>
    </w:pPr>
    <w:rPr>
      <w:sz w:val="22"/>
      <w:szCs w:val="22"/>
      <w:lang w:val="en-GB"/>
    </w:rPr>
  </w:style>
  <w:style w:type="paragraph" w:styleId="Heading1">
    <w:name w:val="heading 1"/>
    <w:basedOn w:val="Normal"/>
    <w:next w:val="Normal"/>
    <w:link w:val="Heading1Char"/>
    <w:uiPriority w:val="9"/>
    <w:qFormat/>
    <w:rsid w:val="00A65F7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A65F7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914B80"/>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iPriority w:val="9"/>
    <w:qFormat/>
    <w:rsid w:val="00914B80"/>
    <w:pPr>
      <w:keepNext/>
      <w:keepLines/>
      <w:spacing w:before="200" w:after="0"/>
      <w:outlineLvl w:val="3"/>
    </w:pPr>
    <w:rPr>
      <w:rFonts w:ascii="Cambria" w:eastAsia="Times New Roman"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31B1"/>
    <w:pPr>
      <w:tabs>
        <w:tab w:val="center" w:pos="4680"/>
        <w:tab w:val="right" w:pos="9360"/>
      </w:tabs>
      <w:spacing w:after="0" w:line="240" w:lineRule="auto"/>
    </w:pPr>
  </w:style>
  <w:style w:type="character" w:customStyle="1" w:styleId="HeaderChar">
    <w:name w:val="Header Char"/>
    <w:basedOn w:val="DefaultParagraphFont"/>
    <w:link w:val="Header"/>
    <w:rsid w:val="00FA31B1"/>
  </w:style>
  <w:style w:type="paragraph" w:styleId="Footer">
    <w:name w:val="footer"/>
    <w:basedOn w:val="Normal"/>
    <w:link w:val="FooterChar"/>
    <w:uiPriority w:val="99"/>
    <w:unhideWhenUsed/>
    <w:rsid w:val="00FA3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1B1"/>
  </w:style>
  <w:style w:type="paragraph" w:styleId="BalloonText">
    <w:name w:val="Balloon Text"/>
    <w:basedOn w:val="Normal"/>
    <w:link w:val="BalloonTextChar"/>
    <w:uiPriority w:val="99"/>
    <w:semiHidden/>
    <w:unhideWhenUsed/>
    <w:rsid w:val="00FA31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1B1"/>
    <w:rPr>
      <w:rFonts w:ascii="Tahoma" w:hAnsi="Tahoma" w:cs="Tahoma"/>
      <w:sz w:val="16"/>
      <w:szCs w:val="16"/>
    </w:rPr>
  </w:style>
  <w:style w:type="paragraph" w:customStyle="1" w:styleId="MediumGrid1-Accent21">
    <w:name w:val="Medium Grid 1 - Accent 21"/>
    <w:basedOn w:val="Normal"/>
    <w:uiPriority w:val="34"/>
    <w:qFormat/>
    <w:rsid w:val="00A27CB8"/>
    <w:pPr>
      <w:ind w:left="720"/>
      <w:contextualSpacing/>
    </w:pPr>
  </w:style>
  <w:style w:type="character" w:customStyle="1" w:styleId="Heading1Char">
    <w:name w:val="Heading 1 Char"/>
    <w:link w:val="Heading1"/>
    <w:uiPriority w:val="9"/>
    <w:rsid w:val="00A65F75"/>
    <w:rPr>
      <w:rFonts w:ascii="Cambria" w:eastAsia="Times New Roman" w:hAnsi="Cambria" w:cs="Times New Roman"/>
      <w:b/>
      <w:bCs/>
      <w:color w:val="365F91"/>
      <w:sz w:val="28"/>
      <w:szCs w:val="28"/>
    </w:rPr>
  </w:style>
  <w:style w:type="character" w:customStyle="1" w:styleId="Heading2Char">
    <w:name w:val="Heading 2 Char"/>
    <w:link w:val="Heading2"/>
    <w:uiPriority w:val="9"/>
    <w:rsid w:val="00A65F75"/>
    <w:rPr>
      <w:rFonts w:ascii="Cambria" w:eastAsia="Times New Roman" w:hAnsi="Cambria" w:cs="Times New Roman"/>
      <w:b/>
      <w:bCs/>
      <w:color w:val="4F81BD"/>
      <w:sz w:val="26"/>
      <w:szCs w:val="26"/>
    </w:rPr>
  </w:style>
  <w:style w:type="paragraph" w:customStyle="1" w:styleId="Paragraph">
    <w:name w:val="Paragraph"/>
    <w:basedOn w:val="Normal"/>
    <w:rsid w:val="00FF2CC6"/>
    <w:pPr>
      <w:tabs>
        <w:tab w:val="left" w:pos="851"/>
        <w:tab w:val="left" w:pos="1701"/>
      </w:tabs>
      <w:spacing w:before="60" w:after="60" w:line="240" w:lineRule="auto"/>
      <w:ind w:left="851"/>
    </w:pPr>
    <w:rPr>
      <w:rFonts w:ascii="Times New Roman" w:eastAsia="Times New Roman" w:hAnsi="Times New Roman"/>
      <w:szCs w:val="20"/>
    </w:rPr>
  </w:style>
  <w:style w:type="character" w:styleId="CommentReference">
    <w:name w:val="annotation reference"/>
    <w:uiPriority w:val="99"/>
    <w:rsid w:val="00FF2CC6"/>
    <w:rPr>
      <w:rFonts w:cs="Times New Roman"/>
      <w:sz w:val="16"/>
      <w:szCs w:val="16"/>
    </w:rPr>
  </w:style>
  <w:style w:type="paragraph" w:styleId="CommentText">
    <w:name w:val="annotation text"/>
    <w:basedOn w:val="Normal"/>
    <w:link w:val="CommentTextChar"/>
    <w:uiPriority w:val="99"/>
    <w:rsid w:val="00FF2CC6"/>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FF2CC6"/>
    <w:rPr>
      <w:rFonts w:ascii="Times New Roman" w:eastAsia="Times New Roman" w:hAnsi="Times New Roman" w:cs="Times New Roman"/>
      <w:sz w:val="20"/>
      <w:szCs w:val="20"/>
    </w:rPr>
  </w:style>
  <w:style w:type="character" w:customStyle="1" w:styleId="MediumGrid1-Accent2Char">
    <w:name w:val="Medium Grid 1 - Accent 2 Char"/>
    <w:link w:val="ColorfulShading-Accent3"/>
    <w:uiPriority w:val="99"/>
    <w:rsid w:val="00926B12"/>
    <w:rPr>
      <w:rFonts w:ascii="Calibri" w:hAnsi="Calibri" w:cs="Times New Roman"/>
      <w:sz w:val="22"/>
      <w:szCs w:val="22"/>
      <w:lang w:eastAsia="en-US"/>
    </w:rPr>
  </w:style>
  <w:style w:type="table" w:styleId="ColorfulShading-Accent3">
    <w:name w:val="Colorful Shading Accent 3"/>
    <w:basedOn w:val="TableNormal"/>
    <w:link w:val="MediumGrid1-Accent2Char"/>
    <w:uiPriority w:val="99"/>
    <w:rsid w:val="00926B12"/>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Heading3Char">
    <w:name w:val="Heading 3 Char"/>
    <w:link w:val="Heading3"/>
    <w:uiPriority w:val="9"/>
    <w:rsid w:val="00914B80"/>
    <w:rPr>
      <w:rFonts w:ascii="Cambria" w:eastAsia="Times New Roman" w:hAnsi="Cambria" w:cs="Times New Roman"/>
      <w:b/>
      <w:bCs/>
      <w:color w:val="4F81BD"/>
    </w:rPr>
  </w:style>
  <w:style w:type="character" w:customStyle="1" w:styleId="Heading4Char">
    <w:name w:val="Heading 4 Char"/>
    <w:link w:val="Heading4"/>
    <w:uiPriority w:val="9"/>
    <w:rsid w:val="00914B80"/>
    <w:rPr>
      <w:rFonts w:ascii="Cambria" w:eastAsia="Times New Roman" w:hAnsi="Cambria" w:cs="Times New Roman"/>
      <w:b/>
      <w:bCs/>
      <w:i/>
      <w:iCs/>
      <w:color w:val="4F81BD"/>
    </w:rPr>
  </w:style>
  <w:style w:type="paragraph" w:customStyle="1" w:styleId="Text1">
    <w:name w:val="Text 1"/>
    <w:basedOn w:val="Normal"/>
    <w:link w:val="Text1Znak"/>
    <w:rsid w:val="00914B80"/>
    <w:pPr>
      <w:spacing w:after="240" w:line="240" w:lineRule="auto"/>
      <w:ind w:left="1492" w:right="692" w:hanging="360"/>
      <w:jc w:val="both"/>
    </w:pPr>
    <w:rPr>
      <w:rFonts w:ascii="Times New Roman" w:eastAsia="Times New Roman" w:hAnsi="Times New Roman"/>
      <w:sz w:val="20"/>
      <w:szCs w:val="20"/>
    </w:rPr>
  </w:style>
  <w:style w:type="paragraph" w:styleId="ListBullet">
    <w:name w:val="List Bullet"/>
    <w:aliases w:val="Znak"/>
    <w:basedOn w:val="Normal"/>
    <w:link w:val="ListBulletChar"/>
    <w:rsid w:val="00914B80"/>
    <w:pPr>
      <w:numPr>
        <w:numId w:val="6"/>
      </w:numPr>
      <w:tabs>
        <w:tab w:val="clear" w:pos="360"/>
        <w:tab w:val="num" w:pos="283"/>
      </w:tabs>
      <w:spacing w:after="240" w:line="240" w:lineRule="auto"/>
      <w:ind w:left="283" w:right="692" w:hanging="283"/>
      <w:jc w:val="both"/>
    </w:pPr>
    <w:rPr>
      <w:rFonts w:ascii="Times New Roman" w:eastAsia="Times New Roman" w:hAnsi="Times New Roman"/>
      <w:sz w:val="20"/>
      <w:szCs w:val="20"/>
    </w:rPr>
  </w:style>
  <w:style w:type="character" w:customStyle="1" w:styleId="ListBulletChar">
    <w:name w:val="List Bullet Char"/>
    <w:aliases w:val="Znak Char"/>
    <w:link w:val="ListBullet"/>
    <w:locked/>
    <w:rsid w:val="00914B80"/>
    <w:rPr>
      <w:rFonts w:ascii="Times New Roman" w:eastAsia="Times New Roman" w:hAnsi="Times New Roman"/>
      <w:sz w:val="20"/>
      <w:szCs w:val="20"/>
      <w:lang w:val="en-GB"/>
    </w:rPr>
  </w:style>
  <w:style w:type="character" w:customStyle="1" w:styleId="Text1Znak">
    <w:name w:val="Text 1 Znak"/>
    <w:link w:val="Text1"/>
    <w:rsid w:val="00914B80"/>
    <w:rPr>
      <w:rFonts w:ascii="Times New Roman" w:eastAsia="Times New Roman" w:hAnsi="Times New Roman" w:cs="Times New Roman"/>
    </w:rPr>
  </w:style>
  <w:style w:type="paragraph" w:customStyle="1" w:styleId="Bullet1">
    <w:name w:val="Bullet 1"/>
    <w:basedOn w:val="Normal"/>
    <w:rsid w:val="00650264"/>
    <w:pPr>
      <w:numPr>
        <w:numId w:val="7"/>
      </w:numPr>
      <w:tabs>
        <w:tab w:val="left" w:pos="851"/>
        <w:tab w:val="left" w:pos="2552"/>
        <w:tab w:val="left" w:pos="3402"/>
      </w:tabs>
      <w:spacing w:before="30" w:after="30" w:line="240" w:lineRule="auto"/>
      <w:jc w:val="both"/>
    </w:pPr>
    <w:rPr>
      <w:rFonts w:ascii="Times New Roman" w:eastAsia="Times New Roman" w:hAnsi="Times New Roman"/>
      <w:szCs w:val="20"/>
    </w:rPr>
  </w:style>
  <w:style w:type="paragraph" w:styleId="CommentSubject">
    <w:name w:val="annotation subject"/>
    <w:basedOn w:val="CommentText"/>
    <w:next w:val="CommentText"/>
    <w:link w:val="CommentSubjectChar"/>
    <w:uiPriority w:val="99"/>
    <w:semiHidden/>
    <w:unhideWhenUsed/>
    <w:rsid w:val="00A927C8"/>
    <w:pPr>
      <w:spacing w:after="200"/>
    </w:pPr>
    <w:rPr>
      <w:b/>
      <w:bCs/>
    </w:rPr>
  </w:style>
  <w:style w:type="character" w:customStyle="1" w:styleId="CommentSubjectChar">
    <w:name w:val="Comment Subject Char"/>
    <w:link w:val="CommentSubject"/>
    <w:uiPriority w:val="99"/>
    <w:semiHidden/>
    <w:rsid w:val="00A927C8"/>
    <w:rPr>
      <w:rFonts w:ascii="Times New Roman" w:eastAsia="Times New Roman" w:hAnsi="Times New Roman" w:cs="Times New Roman"/>
      <w:b/>
      <w:bCs/>
      <w:sz w:val="20"/>
      <w:szCs w:val="20"/>
    </w:rPr>
  </w:style>
  <w:style w:type="paragraph" w:customStyle="1" w:styleId="Default">
    <w:name w:val="Default"/>
    <w:rsid w:val="00DE3276"/>
    <w:pPr>
      <w:autoSpaceDE w:val="0"/>
      <w:autoSpaceDN w:val="0"/>
      <w:adjustRightInd w:val="0"/>
    </w:pPr>
    <w:rPr>
      <w:rFonts w:ascii="Times New Roman" w:hAnsi="Times New Roman"/>
      <w:color w:val="000000"/>
      <w:lang w:val="en-GB"/>
    </w:rPr>
  </w:style>
  <w:style w:type="paragraph" w:styleId="FootnoteText">
    <w:name w:val="footnote text"/>
    <w:aliases w:val="single space,ft,FOOTNOTES,fn,Footnote Text Char Char Char,Footnote Text Char Char,Footnote Text Char1,single space Char,ft Char,footnote text,- OP,Fußnote,Podrozdział,Fußnotentextf,stile 1,Footnote,Footnote1,Footnote2,Footnote3,Footnote4,f"/>
    <w:basedOn w:val="Normal"/>
    <w:link w:val="FootnoteTextChar"/>
    <w:uiPriority w:val="99"/>
    <w:unhideWhenUsed/>
    <w:qFormat/>
    <w:rsid w:val="00E87EC5"/>
    <w:rPr>
      <w:sz w:val="20"/>
      <w:szCs w:val="20"/>
    </w:rPr>
  </w:style>
  <w:style w:type="character" w:customStyle="1" w:styleId="FootnoteTextChar">
    <w:name w:val="Footnote Text Char"/>
    <w:aliases w:val="single space Char1,ft Char1,FOOTNOTES Char,fn Char,Footnote Text Char Char Char Char,Footnote Text Char Char Char1,Footnote Text Char1 Char,single space Char Char,ft Char Char,footnote text Char,- OP Char,Fußnote Char,Podrozdział Char"/>
    <w:basedOn w:val="DefaultParagraphFont"/>
    <w:link w:val="FootnoteText"/>
    <w:uiPriority w:val="99"/>
    <w:rsid w:val="00E87EC5"/>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uiPriority w:val="99"/>
    <w:unhideWhenUsed/>
    <w:rsid w:val="00E87EC5"/>
    <w:rPr>
      <w:vertAlign w:val="superscript"/>
    </w:rPr>
  </w:style>
  <w:style w:type="character" w:styleId="Hyperlink">
    <w:name w:val="Hyperlink"/>
    <w:uiPriority w:val="99"/>
    <w:unhideWhenUsed/>
    <w:rsid w:val="0016647E"/>
    <w:rPr>
      <w:color w:val="0000FF"/>
      <w:u w:val="single"/>
    </w:rPr>
  </w:style>
  <w:style w:type="table" w:styleId="TableGrid">
    <w:name w:val="Table Grid"/>
    <w:basedOn w:val="TableNormal"/>
    <w:uiPriority w:val="59"/>
    <w:rsid w:val="00EA2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F2C2F"/>
    <w:pPr>
      <w:widowControl w:val="0"/>
      <w:spacing w:after="0" w:line="240" w:lineRule="auto"/>
      <w:ind w:left="720"/>
    </w:pPr>
    <w:rPr>
      <w:rFonts w:ascii="Times New Roman" w:eastAsia="Times New Roman" w:hAnsi="Times New Roman"/>
      <w:snapToGrid w:val="0"/>
      <w:sz w:val="24"/>
      <w:szCs w:val="20"/>
      <w:lang w:val="en-US"/>
    </w:rPr>
  </w:style>
  <w:style w:type="paragraph" w:customStyle="1" w:styleId="Title1">
    <w:name w:val="Title 1"/>
    <w:basedOn w:val="Normal"/>
    <w:next w:val="Normal"/>
    <w:rsid w:val="009F2C2F"/>
    <w:pPr>
      <w:spacing w:after="120" w:line="240" w:lineRule="auto"/>
    </w:pPr>
    <w:rPr>
      <w:rFonts w:ascii="Arial" w:eastAsia="Times New Roman" w:hAnsi="Arial"/>
      <w:b/>
      <w:sz w:val="28"/>
      <w:szCs w:val="20"/>
    </w:rPr>
  </w:style>
  <w:style w:type="paragraph" w:styleId="BodyText">
    <w:name w:val="Body Text"/>
    <w:basedOn w:val="Normal"/>
    <w:link w:val="BodyTextChar"/>
    <w:rsid w:val="00C63FB3"/>
    <w:pPr>
      <w:spacing w:after="0" w:line="240" w:lineRule="auto"/>
      <w:jc w:val="both"/>
    </w:pPr>
    <w:rPr>
      <w:rFonts w:ascii="MS Sans Serif" w:eastAsia="Times New Roman" w:hAnsi="MS Sans Serif"/>
      <w:snapToGrid w:val="0"/>
      <w:sz w:val="20"/>
      <w:szCs w:val="20"/>
      <w:lang w:val="en-US"/>
    </w:rPr>
  </w:style>
  <w:style w:type="character" w:customStyle="1" w:styleId="BodyTextChar">
    <w:name w:val="Body Text Char"/>
    <w:basedOn w:val="DefaultParagraphFont"/>
    <w:link w:val="BodyText"/>
    <w:rsid w:val="00C63FB3"/>
    <w:rPr>
      <w:rFonts w:ascii="MS Sans Serif" w:eastAsia="Times New Roman" w:hAnsi="MS Sans Serif"/>
      <w:snapToGrid w:val="0"/>
    </w:rPr>
  </w:style>
  <w:style w:type="paragraph" w:styleId="Title">
    <w:name w:val="Title"/>
    <w:basedOn w:val="Normal"/>
    <w:link w:val="TitleChar"/>
    <w:qFormat/>
    <w:rsid w:val="00C63FB3"/>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rsid w:val="00C63FB3"/>
    <w:rPr>
      <w:rFonts w:ascii="Times New Roman" w:eastAsia="Times New Roman" w:hAnsi="Times New Roman"/>
      <w:b/>
      <w:bCs/>
      <w:sz w:val="24"/>
      <w:szCs w:val="24"/>
    </w:rPr>
  </w:style>
  <w:style w:type="paragraph" w:styleId="BodyText3">
    <w:name w:val="Body Text 3"/>
    <w:basedOn w:val="Normal"/>
    <w:link w:val="BodyText3Char"/>
    <w:rsid w:val="00C63FB3"/>
    <w:pPr>
      <w:spacing w:after="120" w:line="240" w:lineRule="auto"/>
    </w:pPr>
    <w:rPr>
      <w:rFonts w:ascii="Times New Roman" w:eastAsia="Times New Roman" w:hAnsi="Times New Roman"/>
      <w:sz w:val="16"/>
      <w:szCs w:val="16"/>
      <w:lang w:val="en-US"/>
    </w:rPr>
  </w:style>
  <w:style w:type="character" w:customStyle="1" w:styleId="BodyText3Char">
    <w:name w:val="Body Text 3 Char"/>
    <w:basedOn w:val="DefaultParagraphFont"/>
    <w:link w:val="BodyText3"/>
    <w:rsid w:val="00C63FB3"/>
    <w:rPr>
      <w:rFonts w:ascii="Times New Roman" w:eastAsia="Times New Roman" w:hAnsi="Times New Roman"/>
      <w:sz w:val="16"/>
      <w:szCs w:val="16"/>
    </w:rPr>
  </w:style>
  <w:style w:type="paragraph" w:customStyle="1" w:styleId="ColorfulList-Accent11">
    <w:name w:val="Colorful List - Accent 11"/>
    <w:basedOn w:val="Normal"/>
    <w:link w:val="ColorfulList-Accent1Char"/>
    <w:uiPriority w:val="99"/>
    <w:qFormat/>
    <w:rsid w:val="003A2DD7"/>
    <w:pPr>
      <w:ind w:left="720"/>
      <w:contextualSpacing/>
    </w:pPr>
    <w:rPr>
      <w:rFonts w:eastAsia="Times New Roman"/>
      <w:lang w:val="sr-Latn-CS"/>
    </w:rPr>
  </w:style>
  <w:style w:type="character" w:customStyle="1" w:styleId="ColorfulList-Accent1Char">
    <w:name w:val="Colorful List - Accent 1 Char"/>
    <w:link w:val="ColorfulList-Accent11"/>
    <w:uiPriority w:val="99"/>
    <w:rsid w:val="003A2DD7"/>
    <w:rPr>
      <w:rFonts w:eastAsia="Times New Roman"/>
      <w:sz w:val="22"/>
      <w:szCs w:val="22"/>
      <w:lang w:val="sr-Latn-CS"/>
    </w:rPr>
  </w:style>
  <w:style w:type="character" w:customStyle="1" w:styleId="hps">
    <w:name w:val="hps"/>
    <w:basedOn w:val="DefaultParagraphFont"/>
    <w:rsid w:val="00537E39"/>
  </w:style>
  <w:style w:type="paragraph" w:styleId="Revision">
    <w:name w:val="Revision"/>
    <w:hidden/>
    <w:uiPriority w:val="71"/>
    <w:rsid w:val="00B0164F"/>
    <w:rPr>
      <w:sz w:val="22"/>
      <w:szCs w:val="22"/>
      <w:lang w:val="en-GB"/>
    </w:rPr>
  </w:style>
  <w:style w:type="character" w:customStyle="1" w:styleId="ListParagraphChar">
    <w:name w:val="List Paragraph Char"/>
    <w:link w:val="ListParagraph"/>
    <w:uiPriority w:val="34"/>
    <w:locked/>
    <w:rsid w:val="00CA5D4E"/>
    <w:rPr>
      <w:rFonts w:ascii="Times New Roman" w:eastAsia="Times New Roman" w:hAnsi="Times New Roman"/>
      <w:snapToGrid w:val="0"/>
      <w:sz w:val="24"/>
    </w:rPr>
  </w:style>
  <w:style w:type="character" w:styleId="BookTitle">
    <w:name w:val="Book Title"/>
    <w:basedOn w:val="DefaultParagraphFont"/>
    <w:uiPriority w:val="33"/>
    <w:qFormat/>
    <w:rsid w:val="00684E1D"/>
    <w:rPr>
      <w:b/>
      <w:bCs/>
      <w:i/>
      <w:iCs/>
      <w:spacing w:val="5"/>
    </w:rPr>
  </w:style>
  <w:style w:type="table" w:customStyle="1" w:styleId="GridTable1Light-Accent11">
    <w:name w:val="Grid Table 1 Light - Accent 11"/>
    <w:basedOn w:val="TableNormal"/>
    <w:uiPriority w:val="46"/>
    <w:rsid w:val="004960E5"/>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EA578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progres.procurement@unops.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europeanprogres.org/pozivi/s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mfin.gov.rs/UserFiles/File/dokumenti/2013/Fiskalna%20strategija%202014.pdf" TargetMode="External"/><Relationship Id="rId2" Type="http://schemas.openxmlformats.org/officeDocument/2006/relationships/hyperlink" Target="http://www.mfin.gov.rs/UserFiles/File/zakoni/2013/Zakon%20o%20budzetskom%20sistemu%20decembar%202013.pdf" TargetMode="External"/><Relationship Id="rId1" Type="http://schemas.openxmlformats.org/officeDocument/2006/relationships/hyperlink" Target="http://www.euprogres.org/biblioteka.php?id=60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3CCE31-24BB-46DB-B7AB-3BBA919D11FD}" type="doc">
      <dgm:prSet loTypeId="urn:microsoft.com/office/officeart/2005/8/layout/process4" loCatId="list" qsTypeId="urn:microsoft.com/office/officeart/2005/8/quickstyle/simple2" qsCatId="simple" csTypeId="urn:microsoft.com/office/officeart/2005/8/colors/accent0_3" csCatId="mainScheme" phldr="1"/>
      <dgm:spPr/>
      <dgm:t>
        <a:bodyPr/>
        <a:lstStyle/>
        <a:p>
          <a:endParaRPr lang="en-GB"/>
        </a:p>
      </dgm:t>
    </dgm:pt>
    <dgm:pt modelId="{A4604F15-5F54-4BC7-A5AF-9CB922AEB239}">
      <dgm:prSet phldrT="[Text]" custT="1"/>
      <dgm:spPr/>
      <dgm:t>
        <a:bodyPr/>
        <a:lstStyle/>
        <a:p>
          <a:r>
            <a:rPr lang="en-GB" sz="1050"/>
            <a:t>Strategic Documents/ Priorities</a:t>
          </a:r>
        </a:p>
      </dgm:t>
    </dgm:pt>
    <dgm:pt modelId="{BCEACFA9-0158-4F1C-9436-104D05517E82}" type="parTrans" cxnId="{1FB71B64-249E-4545-9675-3672CC57CF62}">
      <dgm:prSet/>
      <dgm:spPr/>
      <dgm:t>
        <a:bodyPr/>
        <a:lstStyle/>
        <a:p>
          <a:endParaRPr lang="en-GB"/>
        </a:p>
      </dgm:t>
    </dgm:pt>
    <dgm:pt modelId="{A37DB360-7659-4A8F-AD84-DC530EBA0D49}" type="sibTrans" cxnId="{1FB71B64-249E-4545-9675-3672CC57CF62}">
      <dgm:prSet/>
      <dgm:spPr/>
      <dgm:t>
        <a:bodyPr/>
        <a:lstStyle/>
        <a:p>
          <a:endParaRPr lang="en-GB"/>
        </a:p>
      </dgm:t>
    </dgm:pt>
    <dgm:pt modelId="{A7201CFB-046D-4617-B972-637EA3B5B987}">
      <dgm:prSet phldrT="[Text]" custT="1"/>
      <dgm:spPr/>
      <dgm:t>
        <a:bodyPr/>
        <a:lstStyle/>
        <a:p>
          <a:r>
            <a:rPr lang="en-GB" sz="1100"/>
            <a:t>Strategic, long term planning level</a:t>
          </a:r>
        </a:p>
      </dgm:t>
    </dgm:pt>
    <dgm:pt modelId="{E459A25D-CEA0-40E3-AD7B-B3767008C42A}" type="parTrans" cxnId="{792E38A2-F5DF-45E8-BE8B-469F4E6AA4BD}">
      <dgm:prSet/>
      <dgm:spPr/>
      <dgm:t>
        <a:bodyPr/>
        <a:lstStyle/>
        <a:p>
          <a:endParaRPr lang="en-GB"/>
        </a:p>
      </dgm:t>
    </dgm:pt>
    <dgm:pt modelId="{2B8B2D2A-DF98-46E3-A4FD-4CEA8A953642}" type="sibTrans" cxnId="{792E38A2-F5DF-45E8-BE8B-469F4E6AA4BD}">
      <dgm:prSet/>
      <dgm:spPr/>
      <dgm:t>
        <a:bodyPr/>
        <a:lstStyle/>
        <a:p>
          <a:endParaRPr lang="en-GB"/>
        </a:p>
      </dgm:t>
    </dgm:pt>
    <dgm:pt modelId="{4296C28C-3841-4399-A74B-40A837F25365}">
      <dgm:prSet phldrT="[Text]" custT="1"/>
      <dgm:spPr/>
      <dgm:t>
        <a:bodyPr/>
        <a:lstStyle/>
        <a:p>
          <a:r>
            <a:rPr lang="en-GB" sz="1100"/>
            <a:t>10+ years</a:t>
          </a:r>
        </a:p>
      </dgm:t>
    </dgm:pt>
    <dgm:pt modelId="{D363439C-20B0-48E9-97A8-EA01E03FD54D}" type="parTrans" cxnId="{3FAAD4C3-1E0F-47B1-830C-CFF4E82AAB49}">
      <dgm:prSet/>
      <dgm:spPr/>
      <dgm:t>
        <a:bodyPr/>
        <a:lstStyle/>
        <a:p>
          <a:endParaRPr lang="en-GB"/>
        </a:p>
      </dgm:t>
    </dgm:pt>
    <dgm:pt modelId="{6F5A8C61-1D9D-4E87-926D-769BC90B344B}" type="sibTrans" cxnId="{3FAAD4C3-1E0F-47B1-830C-CFF4E82AAB49}">
      <dgm:prSet/>
      <dgm:spPr/>
      <dgm:t>
        <a:bodyPr/>
        <a:lstStyle/>
        <a:p>
          <a:endParaRPr lang="en-GB"/>
        </a:p>
      </dgm:t>
    </dgm:pt>
    <dgm:pt modelId="{9EA80D82-89E7-4894-BCC6-8E90629AB213}">
      <dgm:prSet phldrT="[Text]" custT="1"/>
      <dgm:spPr/>
      <dgm:t>
        <a:bodyPr/>
        <a:lstStyle/>
        <a:p>
          <a:r>
            <a:rPr lang="en-GB" sz="1100"/>
            <a:t>Capital Investment Plans</a:t>
          </a:r>
        </a:p>
      </dgm:t>
    </dgm:pt>
    <dgm:pt modelId="{6E08B2AC-A4F7-4F87-ADCD-9772C2F7C8BA}" type="parTrans" cxnId="{FF5A1CBD-0BD0-4ABA-ADF6-E0C2D1389C28}">
      <dgm:prSet/>
      <dgm:spPr/>
      <dgm:t>
        <a:bodyPr/>
        <a:lstStyle/>
        <a:p>
          <a:endParaRPr lang="en-GB"/>
        </a:p>
      </dgm:t>
    </dgm:pt>
    <dgm:pt modelId="{C8006EE1-D48B-4FEE-95BC-57325CFAF0C8}" type="sibTrans" cxnId="{FF5A1CBD-0BD0-4ABA-ADF6-E0C2D1389C28}">
      <dgm:prSet/>
      <dgm:spPr/>
      <dgm:t>
        <a:bodyPr/>
        <a:lstStyle/>
        <a:p>
          <a:endParaRPr lang="en-GB"/>
        </a:p>
      </dgm:t>
    </dgm:pt>
    <dgm:pt modelId="{195B067F-BCAB-4612-9C4C-23E66E8646F9}">
      <dgm:prSet phldrT="[Text]" custT="1"/>
      <dgm:spPr/>
      <dgm:t>
        <a:bodyPr/>
        <a:lstStyle/>
        <a:p>
          <a:r>
            <a:rPr lang="en-GB" sz="1100"/>
            <a:t>Mid-term level planning </a:t>
          </a:r>
        </a:p>
      </dgm:t>
    </dgm:pt>
    <dgm:pt modelId="{18C35109-9754-44B6-BFDF-C3209EE2B619}" type="parTrans" cxnId="{87586FA6-9499-4343-90D0-B7082F260EEA}">
      <dgm:prSet/>
      <dgm:spPr/>
      <dgm:t>
        <a:bodyPr/>
        <a:lstStyle/>
        <a:p>
          <a:endParaRPr lang="en-GB"/>
        </a:p>
      </dgm:t>
    </dgm:pt>
    <dgm:pt modelId="{9FDA5017-7164-4EBF-81F6-49530E43B0FE}" type="sibTrans" cxnId="{87586FA6-9499-4343-90D0-B7082F260EEA}">
      <dgm:prSet/>
      <dgm:spPr/>
      <dgm:t>
        <a:bodyPr/>
        <a:lstStyle/>
        <a:p>
          <a:endParaRPr lang="en-GB"/>
        </a:p>
      </dgm:t>
    </dgm:pt>
    <dgm:pt modelId="{C0CC00FE-A257-4557-9F2E-49E9F6EC2AE6}">
      <dgm:prSet phldrT="[Text]" custT="1"/>
      <dgm:spPr/>
      <dgm:t>
        <a:bodyPr/>
        <a:lstStyle/>
        <a:p>
          <a:r>
            <a:rPr lang="en-GB" sz="1100"/>
            <a:t>3-5 years</a:t>
          </a:r>
        </a:p>
      </dgm:t>
    </dgm:pt>
    <dgm:pt modelId="{EF611B16-F98C-495C-8F38-2908A95DF265}" type="parTrans" cxnId="{F8E0E78C-32AE-4B85-B5B2-A1718728DDB4}">
      <dgm:prSet/>
      <dgm:spPr/>
      <dgm:t>
        <a:bodyPr/>
        <a:lstStyle/>
        <a:p>
          <a:endParaRPr lang="en-GB"/>
        </a:p>
      </dgm:t>
    </dgm:pt>
    <dgm:pt modelId="{8B8064EB-5E4E-4330-A982-9D83888F8353}" type="sibTrans" cxnId="{F8E0E78C-32AE-4B85-B5B2-A1718728DDB4}">
      <dgm:prSet/>
      <dgm:spPr/>
      <dgm:t>
        <a:bodyPr/>
        <a:lstStyle/>
        <a:p>
          <a:endParaRPr lang="en-GB"/>
        </a:p>
      </dgm:t>
    </dgm:pt>
    <dgm:pt modelId="{50F6535D-6CA9-40F5-8355-6C686F46389E}">
      <dgm:prSet phldrT="[Text]" custT="1"/>
      <dgm:spPr/>
      <dgm:t>
        <a:bodyPr/>
        <a:lstStyle/>
        <a:p>
          <a:r>
            <a:rPr lang="en-GB" sz="1100"/>
            <a:t>Programme Budget</a:t>
          </a:r>
        </a:p>
      </dgm:t>
    </dgm:pt>
    <dgm:pt modelId="{064CEAA9-0733-4C51-9C2F-78BFBC68C678}" type="parTrans" cxnId="{3354C5B3-26A3-47EA-A5A3-1EF6DC913A30}">
      <dgm:prSet/>
      <dgm:spPr/>
      <dgm:t>
        <a:bodyPr/>
        <a:lstStyle/>
        <a:p>
          <a:endParaRPr lang="en-GB"/>
        </a:p>
      </dgm:t>
    </dgm:pt>
    <dgm:pt modelId="{88692227-2EB9-4F36-9A1A-896B1DD05ECF}" type="sibTrans" cxnId="{3354C5B3-26A3-47EA-A5A3-1EF6DC913A30}">
      <dgm:prSet/>
      <dgm:spPr/>
      <dgm:t>
        <a:bodyPr/>
        <a:lstStyle/>
        <a:p>
          <a:endParaRPr lang="en-GB"/>
        </a:p>
      </dgm:t>
    </dgm:pt>
    <dgm:pt modelId="{8214734A-5D42-43CF-8480-8FA024FF4F2A}">
      <dgm:prSet phldrT="[Text]" custT="1"/>
      <dgm:spPr/>
      <dgm:t>
        <a:bodyPr/>
        <a:lstStyle/>
        <a:p>
          <a:r>
            <a:rPr lang="en-GB" sz="1100"/>
            <a:t>Operational level planning</a:t>
          </a:r>
        </a:p>
      </dgm:t>
    </dgm:pt>
    <dgm:pt modelId="{255B5649-9988-43A3-90B2-E022E5035E27}" type="parTrans" cxnId="{0ECDD446-A458-466D-B8AC-04F2AFA3D68F}">
      <dgm:prSet/>
      <dgm:spPr/>
      <dgm:t>
        <a:bodyPr/>
        <a:lstStyle/>
        <a:p>
          <a:endParaRPr lang="en-GB"/>
        </a:p>
      </dgm:t>
    </dgm:pt>
    <dgm:pt modelId="{6C456E65-9F08-4064-947B-5D3396B4307A}" type="sibTrans" cxnId="{0ECDD446-A458-466D-B8AC-04F2AFA3D68F}">
      <dgm:prSet/>
      <dgm:spPr/>
      <dgm:t>
        <a:bodyPr/>
        <a:lstStyle/>
        <a:p>
          <a:endParaRPr lang="en-GB"/>
        </a:p>
      </dgm:t>
    </dgm:pt>
    <dgm:pt modelId="{CF75F0B2-50EF-467E-9C48-4296A281A28B}">
      <dgm:prSet phldrT="[Text]" custT="1"/>
      <dgm:spPr/>
      <dgm:t>
        <a:bodyPr/>
        <a:lstStyle/>
        <a:p>
          <a:r>
            <a:rPr lang="en-GB" sz="1100"/>
            <a:t>1 year</a:t>
          </a:r>
        </a:p>
      </dgm:t>
    </dgm:pt>
    <dgm:pt modelId="{AD4219BC-279E-4DED-A7E9-B7724B1F84C5}" type="parTrans" cxnId="{7DBED77F-1A17-486A-B756-51387EF009AF}">
      <dgm:prSet/>
      <dgm:spPr/>
      <dgm:t>
        <a:bodyPr/>
        <a:lstStyle/>
        <a:p>
          <a:endParaRPr lang="en-GB"/>
        </a:p>
      </dgm:t>
    </dgm:pt>
    <dgm:pt modelId="{C944F214-4A70-4D37-BF33-3A87BA1C7ABE}" type="sibTrans" cxnId="{7DBED77F-1A17-486A-B756-51387EF009AF}">
      <dgm:prSet/>
      <dgm:spPr/>
      <dgm:t>
        <a:bodyPr/>
        <a:lstStyle/>
        <a:p>
          <a:endParaRPr lang="en-GB"/>
        </a:p>
      </dgm:t>
    </dgm:pt>
    <dgm:pt modelId="{A9B159BC-0887-4313-99F5-B46661FA4A2B}" type="pres">
      <dgm:prSet presAssocID="{493CCE31-24BB-46DB-B7AB-3BBA919D11FD}" presName="Name0" presStyleCnt="0">
        <dgm:presLayoutVars>
          <dgm:dir/>
          <dgm:animLvl val="lvl"/>
          <dgm:resizeHandles val="exact"/>
        </dgm:presLayoutVars>
      </dgm:prSet>
      <dgm:spPr/>
      <dgm:t>
        <a:bodyPr/>
        <a:lstStyle/>
        <a:p>
          <a:endParaRPr lang="en-GB"/>
        </a:p>
      </dgm:t>
    </dgm:pt>
    <dgm:pt modelId="{DC437EEB-1890-4122-8A4A-2A2AA38D0039}" type="pres">
      <dgm:prSet presAssocID="{50F6535D-6CA9-40F5-8355-6C686F46389E}" presName="boxAndChildren" presStyleCnt="0"/>
      <dgm:spPr/>
    </dgm:pt>
    <dgm:pt modelId="{A885320E-9DB8-47E1-B919-A2A2F067D8C9}" type="pres">
      <dgm:prSet presAssocID="{50F6535D-6CA9-40F5-8355-6C686F46389E}" presName="parentTextBox" presStyleLbl="node1" presStyleIdx="0" presStyleCnt="3"/>
      <dgm:spPr/>
      <dgm:t>
        <a:bodyPr/>
        <a:lstStyle/>
        <a:p>
          <a:endParaRPr lang="en-GB"/>
        </a:p>
      </dgm:t>
    </dgm:pt>
    <dgm:pt modelId="{4D1B6BEA-B875-4D1C-921F-51B282DBF61C}" type="pres">
      <dgm:prSet presAssocID="{50F6535D-6CA9-40F5-8355-6C686F46389E}" presName="entireBox" presStyleLbl="node1" presStyleIdx="0" presStyleCnt="3"/>
      <dgm:spPr/>
      <dgm:t>
        <a:bodyPr/>
        <a:lstStyle/>
        <a:p>
          <a:endParaRPr lang="en-GB"/>
        </a:p>
      </dgm:t>
    </dgm:pt>
    <dgm:pt modelId="{D1D26240-56F4-4E07-9977-9D41B296B145}" type="pres">
      <dgm:prSet presAssocID="{50F6535D-6CA9-40F5-8355-6C686F46389E}" presName="descendantBox" presStyleCnt="0"/>
      <dgm:spPr/>
    </dgm:pt>
    <dgm:pt modelId="{A83EBBA3-871D-4584-9836-457A772FC084}" type="pres">
      <dgm:prSet presAssocID="{8214734A-5D42-43CF-8480-8FA024FF4F2A}" presName="childTextBox" presStyleLbl="fgAccFollowNode1" presStyleIdx="0" presStyleCnt="6">
        <dgm:presLayoutVars>
          <dgm:bulletEnabled val="1"/>
        </dgm:presLayoutVars>
      </dgm:prSet>
      <dgm:spPr/>
      <dgm:t>
        <a:bodyPr/>
        <a:lstStyle/>
        <a:p>
          <a:endParaRPr lang="en-GB"/>
        </a:p>
      </dgm:t>
    </dgm:pt>
    <dgm:pt modelId="{1F3AC9EB-D742-4005-8FF3-0B40AF66B6EF}" type="pres">
      <dgm:prSet presAssocID="{CF75F0B2-50EF-467E-9C48-4296A281A28B}" presName="childTextBox" presStyleLbl="fgAccFollowNode1" presStyleIdx="1" presStyleCnt="6">
        <dgm:presLayoutVars>
          <dgm:bulletEnabled val="1"/>
        </dgm:presLayoutVars>
      </dgm:prSet>
      <dgm:spPr/>
      <dgm:t>
        <a:bodyPr/>
        <a:lstStyle/>
        <a:p>
          <a:endParaRPr lang="en-GB"/>
        </a:p>
      </dgm:t>
    </dgm:pt>
    <dgm:pt modelId="{2B2C8325-B697-4C8B-A405-30C9BC136DE6}" type="pres">
      <dgm:prSet presAssocID="{C8006EE1-D48B-4FEE-95BC-57325CFAF0C8}" presName="sp" presStyleCnt="0"/>
      <dgm:spPr/>
    </dgm:pt>
    <dgm:pt modelId="{557C19EC-D542-4692-88EB-A1F2B1B94D71}" type="pres">
      <dgm:prSet presAssocID="{9EA80D82-89E7-4894-BCC6-8E90629AB213}" presName="arrowAndChildren" presStyleCnt="0"/>
      <dgm:spPr/>
    </dgm:pt>
    <dgm:pt modelId="{A7C66647-400B-41E0-880C-6AEDDDE8120A}" type="pres">
      <dgm:prSet presAssocID="{9EA80D82-89E7-4894-BCC6-8E90629AB213}" presName="parentTextArrow" presStyleLbl="node1" presStyleIdx="0" presStyleCnt="3"/>
      <dgm:spPr/>
      <dgm:t>
        <a:bodyPr/>
        <a:lstStyle/>
        <a:p>
          <a:endParaRPr lang="en-GB"/>
        </a:p>
      </dgm:t>
    </dgm:pt>
    <dgm:pt modelId="{6E1214AB-C89D-4E94-9C30-C8C5B5D57707}" type="pres">
      <dgm:prSet presAssocID="{9EA80D82-89E7-4894-BCC6-8E90629AB213}" presName="arrow" presStyleLbl="node1" presStyleIdx="1" presStyleCnt="3"/>
      <dgm:spPr/>
      <dgm:t>
        <a:bodyPr/>
        <a:lstStyle/>
        <a:p>
          <a:endParaRPr lang="en-GB"/>
        </a:p>
      </dgm:t>
    </dgm:pt>
    <dgm:pt modelId="{9FA28F45-C65C-4160-9738-C367614D813E}" type="pres">
      <dgm:prSet presAssocID="{9EA80D82-89E7-4894-BCC6-8E90629AB213}" presName="descendantArrow" presStyleCnt="0"/>
      <dgm:spPr/>
    </dgm:pt>
    <dgm:pt modelId="{3C7B207F-0E13-4609-8BC2-9F8F01EA325B}" type="pres">
      <dgm:prSet presAssocID="{195B067F-BCAB-4612-9C4C-23E66E8646F9}" presName="childTextArrow" presStyleLbl="fgAccFollowNode1" presStyleIdx="2" presStyleCnt="6">
        <dgm:presLayoutVars>
          <dgm:bulletEnabled val="1"/>
        </dgm:presLayoutVars>
      </dgm:prSet>
      <dgm:spPr/>
      <dgm:t>
        <a:bodyPr/>
        <a:lstStyle/>
        <a:p>
          <a:endParaRPr lang="en-GB"/>
        </a:p>
      </dgm:t>
    </dgm:pt>
    <dgm:pt modelId="{3941E273-33BF-478E-ABCE-9BF1DE42C2AD}" type="pres">
      <dgm:prSet presAssocID="{C0CC00FE-A257-4557-9F2E-49E9F6EC2AE6}" presName="childTextArrow" presStyleLbl="fgAccFollowNode1" presStyleIdx="3" presStyleCnt="6">
        <dgm:presLayoutVars>
          <dgm:bulletEnabled val="1"/>
        </dgm:presLayoutVars>
      </dgm:prSet>
      <dgm:spPr/>
      <dgm:t>
        <a:bodyPr/>
        <a:lstStyle/>
        <a:p>
          <a:endParaRPr lang="en-GB"/>
        </a:p>
      </dgm:t>
    </dgm:pt>
    <dgm:pt modelId="{F59B4AF0-3FBD-4408-8F87-D89A491DE8A7}" type="pres">
      <dgm:prSet presAssocID="{A37DB360-7659-4A8F-AD84-DC530EBA0D49}" presName="sp" presStyleCnt="0"/>
      <dgm:spPr/>
    </dgm:pt>
    <dgm:pt modelId="{9548C010-8F3D-4052-B401-5EB2AA09AFBA}" type="pres">
      <dgm:prSet presAssocID="{A4604F15-5F54-4BC7-A5AF-9CB922AEB239}" presName="arrowAndChildren" presStyleCnt="0"/>
      <dgm:spPr/>
    </dgm:pt>
    <dgm:pt modelId="{9B5CE5AA-1175-401D-8C2B-EEBCF305E9C3}" type="pres">
      <dgm:prSet presAssocID="{A4604F15-5F54-4BC7-A5AF-9CB922AEB239}" presName="parentTextArrow" presStyleLbl="node1" presStyleIdx="1" presStyleCnt="3"/>
      <dgm:spPr/>
      <dgm:t>
        <a:bodyPr/>
        <a:lstStyle/>
        <a:p>
          <a:endParaRPr lang="en-GB"/>
        </a:p>
      </dgm:t>
    </dgm:pt>
    <dgm:pt modelId="{966B3C6D-6249-4A6A-B9DC-D188EA900785}" type="pres">
      <dgm:prSet presAssocID="{A4604F15-5F54-4BC7-A5AF-9CB922AEB239}" presName="arrow" presStyleLbl="node1" presStyleIdx="2" presStyleCnt="3"/>
      <dgm:spPr/>
      <dgm:t>
        <a:bodyPr/>
        <a:lstStyle/>
        <a:p>
          <a:endParaRPr lang="en-GB"/>
        </a:p>
      </dgm:t>
    </dgm:pt>
    <dgm:pt modelId="{AC81F7B0-1FA8-47D9-8C60-3DF8DFE41778}" type="pres">
      <dgm:prSet presAssocID="{A4604F15-5F54-4BC7-A5AF-9CB922AEB239}" presName="descendantArrow" presStyleCnt="0"/>
      <dgm:spPr/>
    </dgm:pt>
    <dgm:pt modelId="{7298B74E-925D-4BEB-A993-9446B0497182}" type="pres">
      <dgm:prSet presAssocID="{A7201CFB-046D-4617-B972-637EA3B5B987}" presName="childTextArrow" presStyleLbl="fgAccFollowNode1" presStyleIdx="4" presStyleCnt="6">
        <dgm:presLayoutVars>
          <dgm:bulletEnabled val="1"/>
        </dgm:presLayoutVars>
      </dgm:prSet>
      <dgm:spPr/>
      <dgm:t>
        <a:bodyPr/>
        <a:lstStyle/>
        <a:p>
          <a:endParaRPr lang="en-GB"/>
        </a:p>
      </dgm:t>
    </dgm:pt>
    <dgm:pt modelId="{8E13CE01-BDDC-4D53-B664-B3785A35CF39}" type="pres">
      <dgm:prSet presAssocID="{4296C28C-3841-4399-A74B-40A837F25365}" presName="childTextArrow" presStyleLbl="fgAccFollowNode1" presStyleIdx="5" presStyleCnt="6">
        <dgm:presLayoutVars>
          <dgm:bulletEnabled val="1"/>
        </dgm:presLayoutVars>
      </dgm:prSet>
      <dgm:spPr/>
      <dgm:t>
        <a:bodyPr/>
        <a:lstStyle/>
        <a:p>
          <a:endParaRPr lang="en-GB"/>
        </a:p>
      </dgm:t>
    </dgm:pt>
  </dgm:ptLst>
  <dgm:cxnLst>
    <dgm:cxn modelId="{792E38A2-F5DF-45E8-BE8B-469F4E6AA4BD}" srcId="{A4604F15-5F54-4BC7-A5AF-9CB922AEB239}" destId="{A7201CFB-046D-4617-B972-637EA3B5B987}" srcOrd="0" destOrd="0" parTransId="{E459A25D-CEA0-40E3-AD7B-B3767008C42A}" sibTransId="{2B8B2D2A-DF98-46E3-A4FD-4CEA8A953642}"/>
    <dgm:cxn modelId="{6553B92C-C4C6-4E86-A70A-B9610D5F5755}" type="presOf" srcId="{9EA80D82-89E7-4894-BCC6-8E90629AB213}" destId="{6E1214AB-C89D-4E94-9C30-C8C5B5D57707}" srcOrd="1" destOrd="0" presId="urn:microsoft.com/office/officeart/2005/8/layout/process4"/>
    <dgm:cxn modelId="{3159BB33-F83D-4FD8-B778-F416030D951A}" type="presOf" srcId="{9EA80D82-89E7-4894-BCC6-8E90629AB213}" destId="{A7C66647-400B-41E0-880C-6AEDDDE8120A}" srcOrd="0" destOrd="0" presId="urn:microsoft.com/office/officeart/2005/8/layout/process4"/>
    <dgm:cxn modelId="{88A07536-D9AD-4E39-B082-D1B90A8BFD7A}" type="presOf" srcId="{A7201CFB-046D-4617-B972-637EA3B5B987}" destId="{7298B74E-925D-4BEB-A993-9446B0497182}" srcOrd="0" destOrd="0" presId="urn:microsoft.com/office/officeart/2005/8/layout/process4"/>
    <dgm:cxn modelId="{8529A888-8BDF-410A-98CE-8BFA42AD1C58}" type="presOf" srcId="{A4604F15-5F54-4BC7-A5AF-9CB922AEB239}" destId="{9B5CE5AA-1175-401D-8C2B-EEBCF305E9C3}" srcOrd="0" destOrd="0" presId="urn:microsoft.com/office/officeart/2005/8/layout/process4"/>
    <dgm:cxn modelId="{F7D57051-6EF4-43ED-ADF1-D64ED28925A5}" type="presOf" srcId="{50F6535D-6CA9-40F5-8355-6C686F46389E}" destId="{4D1B6BEA-B875-4D1C-921F-51B282DBF61C}" srcOrd="1" destOrd="0" presId="urn:microsoft.com/office/officeart/2005/8/layout/process4"/>
    <dgm:cxn modelId="{3354C5B3-26A3-47EA-A5A3-1EF6DC913A30}" srcId="{493CCE31-24BB-46DB-B7AB-3BBA919D11FD}" destId="{50F6535D-6CA9-40F5-8355-6C686F46389E}" srcOrd="2" destOrd="0" parTransId="{064CEAA9-0733-4C51-9C2F-78BFBC68C678}" sibTransId="{88692227-2EB9-4F36-9A1A-896B1DD05ECF}"/>
    <dgm:cxn modelId="{774AEED8-E396-49DF-A1C7-9D7E2D2EC437}" type="presOf" srcId="{195B067F-BCAB-4612-9C4C-23E66E8646F9}" destId="{3C7B207F-0E13-4609-8BC2-9F8F01EA325B}" srcOrd="0" destOrd="0" presId="urn:microsoft.com/office/officeart/2005/8/layout/process4"/>
    <dgm:cxn modelId="{AF867BAA-A913-4242-9597-564B5CF1C06F}" type="presOf" srcId="{C0CC00FE-A257-4557-9F2E-49E9F6EC2AE6}" destId="{3941E273-33BF-478E-ABCE-9BF1DE42C2AD}" srcOrd="0" destOrd="0" presId="urn:microsoft.com/office/officeart/2005/8/layout/process4"/>
    <dgm:cxn modelId="{B57602B5-1C7B-47B1-8C82-EB96FC52C06A}" type="presOf" srcId="{CF75F0B2-50EF-467E-9C48-4296A281A28B}" destId="{1F3AC9EB-D742-4005-8FF3-0B40AF66B6EF}" srcOrd="0" destOrd="0" presId="urn:microsoft.com/office/officeart/2005/8/layout/process4"/>
    <dgm:cxn modelId="{87586FA6-9499-4343-90D0-B7082F260EEA}" srcId="{9EA80D82-89E7-4894-BCC6-8E90629AB213}" destId="{195B067F-BCAB-4612-9C4C-23E66E8646F9}" srcOrd="0" destOrd="0" parTransId="{18C35109-9754-44B6-BFDF-C3209EE2B619}" sibTransId="{9FDA5017-7164-4EBF-81F6-49530E43B0FE}"/>
    <dgm:cxn modelId="{FF5A1CBD-0BD0-4ABA-ADF6-E0C2D1389C28}" srcId="{493CCE31-24BB-46DB-B7AB-3BBA919D11FD}" destId="{9EA80D82-89E7-4894-BCC6-8E90629AB213}" srcOrd="1" destOrd="0" parTransId="{6E08B2AC-A4F7-4F87-ADCD-9772C2F7C8BA}" sibTransId="{C8006EE1-D48B-4FEE-95BC-57325CFAF0C8}"/>
    <dgm:cxn modelId="{1FB71B64-249E-4545-9675-3672CC57CF62}" srcId="{493CCE31-24BB-46DB-B7AB-3BBA919D11FD}" destId="{A4604F15-5F54-4BC7-A5AF-9CB922AEB239}" srcOrd="0" destOrd="0" parTransId="{BCEACFA9-0158-4F1C-9436-104D05517E82}" sibTransId="{A37DB360-7659-4A8F-AD84-DC530EBA0D49}"/>
    <dgm:cxn modelId="{41A47119-E797-4F24-BE98-7A62277F348F}" type="presOf" srcId="{4296C28C-3841-4399-A74B-40A837F25365}" destId="{8E13CE01-BDDC-4D53-B664-B3785A35CF39}" srcOrd="0" destOrd="0" presId="urn:microsoft.com/office/officeart/2005/8/layout/process4"/>
    <dgm:cxn modelId="{D9E21F31-61AA-4291-A007-2171C0D6CFDC}" type="presOf" srcId="{493CCE31-24BB-46DB-B7AB-3BBA919D11FD}" destId="{A9B159BC-0887-4313-99F5-B46661FA4A2B}" srcOrd="0" destOrd="0" presId="urn:microsoft.com/office/officeart/2005/8/layout/process4"/>
    <dgm:cxn modelId="{3FAAD4C3-1E0F-47B1-830C-CFF4E82AAB49}" srcId="{A4604F15-5F54-4BC7-A5AF-9CB922AEB239}" destId="{4296C28C-3841-4399-A74B-40A837F25365}" srcOrd="1" destOrd="0" parTransId="{D363439C-20B0-48E9-97A8-EA01E03FD54D}" sibTransId="{6F5A8C61-1D9D-4E87-926D-769BC90B344B}"/>
    <dgm:cxn modelId="{8CA31D8D-1D9D-4A3A-ACF2-A64E81BCD5E5}" type="presOf" srcId="{50F6535D-6CA9-40F5-8355-6C686F46389E}" destId="{A885320E-9DB8-47E1-B919-A2A2F067D8C9}" srcOrd="0" destOrd="0" presId="urn:microsoft.com/office/officeart/2005/8/layout/process4"/>
    <dgm:cxn modelId="{7DBED77F-1A17-486A-B756-51387EF009AF}" srcId="{50F6535D-6CA9-40F5-8355-6C686F46389E}" destId="{CF75F0B2-50EF-467E-9C48-4296A281A28B}" srcOrd="1" destOrd="0" parTransId="{AD4219BC-279E-4DED-A7E9-B7724B1F84C5}" sibTransId="{C944F214-4A70-4D37-BF33-3A87BA1C7ABE}"/>
    <dgm:cxn modelId="{F77FEDF1-A8F6-47EB-B35A-400B14B183EC}" type="presOf" srcId="{8214734A-5D42-43CF-8480-8FA024FF4F2A}" destId="{A83EBBA3-871D-4584-9836-457A772FC084}" srcOrd="0" destOrd="0" presId="urn:microsoft.com/office/officeart/2005/8/layout/process4"/>
    <dgm:cxn modelId="{F8E0E78C-32AE-4B85-B5B2-A1718728DDB4}" srcId="{9EA80D82-89E7-4894-BCC6-8E90629AB213}" destId="{C0CC00FE-A257-4557-9F2E-49E9F6EC2AE6}" srcOrd="1" destOrd="0" parTransId="{EF611B16-F98C-495C-8F38-2908A95DF265}" sibTransId="{8B8064EB-5E4E-4330-A982-9D83888F8353}"/>
    <dgm:cxn modelId="{0ECDD446-A458-466D-B8AC-04F2AFA3D68F}" srcId="{50F6535D-6CA9-40F5-8355-6C686F46389E}" destId="{8214734A-5D42-43CF-8480-8FA024FF4F2A}" srcOrd="0" destOrd="0" parTransId="{255B5649-9988-43A3-90B2-E022E5035E27}" sibTransId="{6C456E65-9F08-4064-947B-5D3396B4307A}"/>
    <dgm:cxn modelId="{C5A50896-B9CC-45E3-B859-9C6B567D6BF0}" type="presOf" srcId="{A4604F15-5F54-4BC7-A5AF-9CB922AEB239}" destId="{966B3C6D-6249-4A6A-B9DC-D188EA900785}" srcOrd="1" destOrd="0" presId="urn:microsoft.com/office/officeart/2005/8/layout/process4"/>
    <dgm:cxn modelId="{17A86D60-2BB4-4DE6-831F-0BCB362E1049}" type="presParOf" srcId="{A9B159BC-0887-4313-99F5-B46661FA4A2B}" destId="{DC437EEB-1890-4122-8A4A-2A2AA38D0039}" srcOrd="0" destOrd="0" presId="urn:microsoft.com/office/officeart/2005/8/layout/process4"/>
    <dgm:cxn modelId="{111E26AC-85A9-4B47-B239-873C27FD5B91}" type="presParOf" srcId="{DC437EEB-1890-4122-8A4A-2A2AA38D0039}" destId="{A885320E-9DB8-47E1-B919-A2A2F067D8C9}" srcOrd="0" destOrd="0" presId="urn:microsoft.com/office/officeart/2005/8/layout/process4"/>
    <dgm:cxn modelId="{86DE569F-D68B-45B5-9782-4A8DF218421F}" type="presParOf" srcId="{DC437EEB-1890-4122-8A4A-2A2AA38D0039}" destId="{4D1B6BEA-B875-4D1C-921F-51B282DBF61C}" srcOrd="1" destOrd="0" presId="urn:microsoft.com/office/officeart/2005/8/layout/process4"/>
    <dgm:cxn modelId="{32707F7F-D8CE-4C36-B7A4-0E8134C82B4A}" type="presParOf" srcId="{DC437EEB-1890-4122-8A4A-2A2AA38D0039}" destId="{D1D26240-56F4-4E07-9977-9D41B296B145}" srcOrd="2" destOrd="0" presId="urn:microsoft.com/office/officeart/2005/8/layout/process4"/>
    <dgm:cxn modelId="{62288AD3-8FFE-4613-BCCC-4D7A98634238}" type="presParOf" srcId="{D1D26240-56F4-4E07-9977-9D41B296B145}" destId="{A83EBBA3-871D-4584-9836-457A772FC084}" srcOrd="0" destOrd="0" presId="urn:microsoft.com/office/officeart/2005/8/layout/process4"/>
    <dgm:cxn modelId="{29CD860F-820D-4145-B309-28FC657D0314}" type="presParOf" srcId="{D1D26240-56F4-4E07-9977-9D41B296B145}" destId="{1F3AC9EB-D742-4005-8FF3-0B40AF66B6EF}" srcOrd="1" destOrd="0" presId="urn:microsoft.com/office/officeart/2005/8/layout/process4"/>
    <dgm:cxn modelId="{DAD684F7-7F74-4529-B4B4-6D06787E0D64}" type="presParOf" srcId="{A9B159BC-0887-4313-99F5-B46661FA4A2B}" destId="{2B2C8325-B697-4C8B-A405-30C9BC136DE6}" srcOrd="1" destOrd="0" presId="urn:microsoft.com/office/officeart/2005/8/layout/process4"/>
    <dgm:cxn modelId="{346147A1-2AFB-4A79-86DF-A8DFADB3B61B}" type="presParOf" srcId="{A9B159BC-0887-4313-99F5-B46661FA4A2B}" destId="{557C19EC-D542-4692-88EB-A1F2B1B94D71}" srcOrd="2" destOrd="0" presId="urn:microsoft.com/office/officeart/2005/8/layout/process4"/>
    <dgm:cxn modelId="{4515500A-89D0-424E-8918-542E820F4189}" type="presParOf" srcId="{557C19EC-D542-4692-88EB-A1F2B1B94D71}" destId="{A7C66647-400B-41E0-880C-6AEDDDE8120A}" srcOrd="0" destOrd="0" presId="urn:microsoft.com/office/officeart/2005/8/layout/process4"/>
    <dgm:cxn modelId="{896F1596-1F21-446C-870F-F88689AEEA20}" type="presParOf" srcId="{557C19EC-D542-4692-88EB-A1F2B1B94D71}" destId="{6E1214AB-C89D-4E94-9C30-C8C5B5D57707}" srcOrd="1" destOrd="0" presId="urn:microsoft.com/office/officeart/2005/8/layout/process4"/>
    <dgm:cxn modelId="{051725E4-1173-4CCC-9363-8265D954EA98}" type="presParOf" srcId="{557C19EC-D542-4692-88EB-A1F2B1B94D71}" destId="{9FA28F45-C65C-4160-9738-C367614D813E}" srcOrd="2" destOrd="0" presId="urn:microsoft.com/office/officeart/2005/8/layout/process4"/>
    <dgm:cxn modelId="{41197400-FAF0-4048-B89A-AA54E55CCFA2}" type="presParOf" srcId="{9FA28F45-C65C-4160-9738-C367614D813E}" destId="{3C7B207F-0E13-4609-8BC2-9F8F01EA325B}" srcOrd="0" destOrd="0" presId="urn:microsoft.com/office/officeart/2005/8/layout/process4"/>
    <dgm:cxn modelId="{C5BD7237-F2A4-4BF2-AF40-FF3C4E4AB8CA}" type="presParOf" srcId="{9FA28F45-C65C-4160-9738-C367614D813E}" destId="{3941E273-33BF-478E-ABCE-9BF1DE42C2AD}" srcOrd="1" destOrd="0" presId="urn:microsoft.com/office/officeart/2005/8/layout/process4"/>
    <dgm:cxn modelId="{391AAF61-35F7-44D7-832D-1A41768B3334}" type="presParOf" srcId="{A9B159BC-0887-4313-99F5-B46661FA4A2B}" destId="{F59B4AF0-3FBD-4408-8F87-D89A491DE8A7}" srcOrd="3" destOrd="0" presId="urn:microsoft.com/office/officeart/2005/8/layout/process4"/>
    <dgm:cxn modelId="{4E949FA1-DDED-4FBA-8B09-922BB2B0A34F}" type="presParOf" srcId="{A9B159BC-0887-4313-99F5-B46661FA4A2B}" destId="{9548C010-8F3D-4052-B401-5EB2AA09AFBA}" srcOrd="4" destOrd="0" presId="urn:microsoft.com/office/officeart/2005/8/layout/process4"/>
    <dgm:cxn modelId="{D7DC2820-4D76-4680-88DA-836FE82734E7}" type="presParOf" srcId="{9548C010-8F3D-4052-B401-5EB2AA09AFBA}" destId="{9B5CE5AA-1175-401D-8C2B-EEBCF305E9C3}" srcOrd="0" destOrd="0" presId="urn:microsoft.com/office/officeart/2005/8/layout/process4"/>
    <dgm:cxn modelId="{ADF9271F-D238-46F0-B06E-96792940A574}" type="presParOf" srcId="{9548C010-8F3D-4052-B401-5EB2AA09AFBA}" destId="{966B3C6D-6249-4A6A-B9DC-D188EA900785}" srcOrd="1" destOrd="0" presId="urn:microsoft.com/office/officeart/2005/8/layout/process4"/>
    <dgm:cxn modelId="{3B18F84D-9454-4070-91C8-41C89729B799}" type="presParOf" srcId="{9548C010-8F3D-4052-B401-5EB2AA09AFBA}" destId="{AC81F7B0-1FA8-47D9-8C60-3DF8DFE41778}" srcOrd="2" destOrd="0" presId="urn:microsoft.com/office/officeart/2005/8/layout/process4"/>
    <dgm:cxn modelId="{2E2484BD-DAB6-481B-8E0D-16AB679B2899}" type="presParOf" srcId="{AC81F7B0-1FA8-47D9-8C60-3DF8DFE41778}" destId="{7298B74E-925D-4BEB-A993-9446B0497182}" srcOrd="0" destOrd="0" presId="urn:microsoft.com/office/officeart/2005/8/layout/process4"/>
    <dgm:cxn modelId="{6C443216-3A17-41F9-A3D7-B2638B5D7675}" type="presParOf" srcId="{AC81F7B0-1FA8-47D9-8C60-3DF8DFE41778}" destId="{8E13CE01-BDDC-4D53-B664-B3785A35CF39}" srcOrd="1" destOrd="0" presId="urn:microsoft.com/office/officeart/2005/8/layout/process4"/>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D1B6BEA-B875-4D1C-921F-51B282DBF61C}">
      <dsp:nvSpPr>
        <dsp:cNvPr id="0" name=""/>
        <dsp:cNvSpPr/>
      </dsp:nvSpPr>
      <dsp:spPr>
        <a:xfrm>
          <a:off x="0" y="1580136"/>
          <a:ext cx="5899785" cy="518636"/>
        </a:xfrm>
        <a:prstGeom prst="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t>Programme Budget</a:t>
          </a:r>
        </a:p>
      </dsp:txBody>
      <dsp:txXfrm>
        <a:off x="0" y="1580136"/>
        <a:ext cx="5899785" cy="280063"/>
      </dsp:txXfrm>
    </dsp:sp>
    <dsp:sp modelId="{A83EBBA3-871D-4584-9836-457A772FC084}">
      <dsp:nvSpPr>
        <dsp:cNvPr id="0" name=""/>
        <dsp:cNvSpPr/>
      </dsp:nvSpPr>
      <dsp:spPr>
        <a:xfrm>
          <a:off x="0" y="1849827"/>
          <a:ext cx="2949892" cy="238572"/>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GB" sz="1100" kern="1200"/>
            <a:t>Operational level planning</a:t>
          </a:r>
        </a:p>
      </dsp:txBody>
      <dsp:txXfrm>
        <a:off x="0" y="1849827"/>
        <a:ext cx="2949892" cy="238572"/>
      </dsp:txXfrm>
    </dsp:sp>
    <dsp:sp modelId="{1F3AC9EB-D742-4005-8FF3-0B40AF66B6EF}">
      <dsp:nvSpPr>
        <dsp:cNvPr id="0" name=""/>
        <dsp:cNvSpPr/>
      </dsp:nvSpPr>
      <dsp:spPr>
        <a:xfrm>
          <a:off x="2949892" y="1849827"/>
          <a:ext cx="2949892" cy="238572"/>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GB" sz="1100" kern="1200"/>
            <a:t>1 year</a:t>
          </a:r>
        </a:p>
      </dsp:txBody>
      <dsp:txXfrm>
        <a:off x="2949892" y="1849827"/>
        <a:ext cx="2949892" cy="238572"/>
      </dsp:txXfrm>
    </dsp:sp>
    <dsp:sp modelId="{6E1214AB-C89D-4E94-9C30-C8C5B5D57707}">
      <dsp:nvSpPr>
        <dsp:cNvPr id="0" name=""/>
        <dsp:cNvSpPr/>
      </dsp:nvSpPr>
      <dsp:spPr>
        <a:xfrm rot="10800000">
          <a:off x="0" y="790253"/>
          <a:ext cx="5899785" cy="797662"/>
        </a:xfrm>
        <a:prstGeom prst="upArrowCallou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t>Capital Investment Plans</a:t>
          </a:r>
        </a:p>
      </dsp:txBody>
      <dsp:txXfrm>
        <a:off x="0" y="790253"/>
        <a:ext cx="5899785" cy="279979"/>
      </dsp:txXfrm>
    </dsp:sp>
    <dsp:sp modelId="{3C7B207F-0E13-4609-8BC2-9F8F01EA325B}">
      <dsp:nvSpPr>
        <dsp:cNvPr id="0" name=""/>
        <dsp:cNvSpPr/>
      </dsp:nvSpPr>
      <dsp:spPr>
        <a:xfrm>
          <a:off x="0" y="1070233"/>
          <a:ext cx="2949892" cy="238501"/>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GB" sz="1100" kern="1200"/>
            <a:t>Mid-term level planning </a:t>
          </a:r>
        </a:p>
      </dsp:txBody>
      <dsp:txXfrm>
        <a:off x="0" y="1070233"/>
        <a:ext cx="2949892" cy="238501"/>
      </dsp:txXfrm>
    </dsp:sp>
    <dsp:sp modelId="{3941E273-33BF-478E-ABCE-9BF1DE42C2AD}">
      <dsp:nvSpPr>
        <dsp:cNvPr id="0" name=""/>
        <dsp:cNvSpPr/>
      </dsp:nvSpPr>
      <dsp:spPr>
        <a:xfrm>
          <a:off x="2949892" y="1070233"/>
          <a:ext cx="2949892" cy="238501"/>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GB" sz="1100" kern="1200"/>
            <a:t>3-5 years</a:t>
          </a:r>
        </a:p>
      </dsp:txBody>
      <dsp:txXfrm>
        <a:off x="2949892" y="1070233"/>
        <a:ext cx="2949892" cy="238501"/>
      </dsp:txXfrm>
    </dsp:sp>
    <dsp:sp modelId="{966B3C6D-6249-4A6A-B9DC-D188EA900785}">
      <dsp:nvSpPr>
        <dsp:cNvPr id="0" name=""/>
        <dsp:cNvSpPr/>
      </dsp:nvSpPr>
      <dsp:spPr>
        <a:xfrm rot="10800000">
          <a:off x="0" y="371"/>
          <a:ext cx="5899785" cy="797662"/>
        </a:xfrm>
        <a:prstGeom prst="upArrowCallou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en-GB" sz="1050" kern="1200"/>
            <a:t>Strategic Documents/ Priorities</a:t>
          </a:r>
        </a:p>
      </dsp:txBody>
      <dsp:txXfrm>
        <a:off x="0" y="371"/>
        <a:ext cx="5899785" cy="279979"/>
      </dsp:txXfrm>
    </dsp:sp>
    <dsp:sp modelId="{7298B74E-925D-4BEB-A993-9446B0497182}">
      <dsp:nvSpPr>
        <dsp:cNvPr id="0" name=""/>
        <dsp:cNvSpPr/>
      </dsp:nvSpPr>
      <dsp:spPr>
        <a:xfrm>
          <a:off x="0" y="280350"/>
          <a:ext cx="2949892" cy="238501"/>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GB" sz="1100" kern="1200"/>
            <a:t>Strategic, long term planning level</a:t>
          </a:r>
        </a:p>
      </dsp:txBody>
      <dsp:txXfrm>
        <a:off x="0" y="280350"/>
        <a:ext cx="2949892" cy="238501"/>
      </dsp:txXfrm>
    </dsp:sp>
    <dsp:sp modelId="{8E13CE01-BDDC-4D53-B664-B3785A35CF39}">
      <dsp:nvSpPr>
        <dsp:cNvPr id="0" name=""/>
        <dsp:cNvSpPr/>
      </dsp:nvSpPr>
      <dsp:spPr>
        <a:xfrm>
          <a:off x="2949892" y="280350"/>
          <a:ext cx="2949892" cy="238501"/>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GB" sz="1100" kern="1200"/>
            <a:t>10+ years</a:t>
          </a:r>
        </a:p>
      </dsp:txBody>
      <dsp:txXfrm>
        <a:off x="2949892" y="280350"/>
        <a:ext cx="2949892" cy="23850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A2809-24DA-4A63-B082-1A43B300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2790</Words>
  <Characters>15907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18660</CharactersWithSpaces>
  <SharedDoc>false</SharedDoc>
  <HLinks>
    <vt:vector size="12" baseType="variant">
      <vt:variant>
        <vt:i4>2687090</vt:i4>
      </vt:variant>
      <vt:variant>
        <vt:i4>3</vt:i4>
      </vt:variant>
      <vt:variant>
        <vt:i4>0</vt:i4>
      </vt:variant>
      <vt:variant>
        <vt:i4>5</vt:i4>
      </vt:variant>
      <vt:variant>
        <vt:lpwstr>http://www.euprogres.org/konkursi.php?oblast=pozivi</vt:lpwstr>
      </vt:variant>
      <vt:variant>
        <vt:lpwstr/>
      </vt:variant>
      <vt:variant>
        <vt:i4>196726</vt:i4>
      </vt:variant>
      <vt:variant>
        <vt:i4>0</vt:i4>
      </vt:variant>
      <vt:variant>
        <vt:i4>0</vt:i4>
      </vt:variant>
      <vt:variant>
        <vt:i4>5</vt:i4>
      </vt:variant>
      <vt:variant>
        <vt:lpwstr>mailto:progres.procurement@unops.org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Olivera</dc:creator>
  <cp:lastModifiedBy>Bojan Marcic</cp:lastModifiedBy>
  <cp:revision>9</cp:revision>
  <cp:lastPrinted>2014-12-10T11:16:00Z</cp:lastPrinted>
  <dcterms:created xsi:type="dcterms:W3CDTF">2015-02-05T11:25:00Z</dcterms:created>
  <dcterms:modified xsi:type="dcterms:W3CDTF">2015-02-10T10:55:00Z</dcterms:modified>
</cp:coreProperties>
</file>